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FA" w:rsidRPr="007F7361" w:rsidRDefault="00D379FA" w:rsidP="00860FEC">
      <w:pPr>
        <w:pStyle w:val="Kop1"/>
        <w:rPr>
          <w:color w:val="000000"/>
          <w:lang w:val="nl-NL"/>
        </w:rPr>
      </w:pPr>
      <w:r w:rsidRPr="007F7361">
        <w:rPr>
          <w:color w:val="000000"/>
          <w:lang w:val="nl-NL"/>
        </w:rPr>
        <w:t>R</w:t>
      </w:r>
      <w:r w:rsidR="002A461B" w:rsidRPr="007F7361">
        <w:rPr>
          <w:color w:val="000000"/>
          <w:lang w:val="nl-NL"/>
        </w:rPr>
        <w:t>aadsmemo</w:t>
      </w:r>
    </w:p>
    <w:p w:rsidR="00D379FA" w:rsidRPr="007F7361" w:rsidRDefault="00D379FA" w:rsidP="00D379FA">
      <w:pPr>
        <w:rPr>
          <w:color w:val="000000"/>
        </w:rPr>
      </w:pPr>
    </w:p>
    <w:p w:rsidR="00D379FA" w:rsidRPr="007F7361" w:rsidRDefault="00D379FA" w:rsidP="00D379FA">
      <w:pPr>
        <w:rPr>
          <w:color w:val="000000"/>
        </w:rPr>
      </w:pPr>
    </w:p>
    <w:tbl>
      <w:tblPr>
        <w:tblW w:w="0" w:type="auto"/>
        <w:tblLayout w:type="fixed"/>
        <w:tblCellMar>
          <w:left w:w="0" w:type="dxa"/>
          <w:right w:w="0" w:type="dxa"/>
        </w:tblCellMar>
        <w:tblLook w:val="01E0" w:firstRow="1" w:lastRow="1" w:firstColumn="1" w:lastColumn="1" w:noHBand="0" w:noVBand="0"/>
      </w:tblPr>
      <w:tblGrid>
        <w:gridCol w:w="1134"/>
        <w:gridCol w:w="284"/>
        <w:gridCol w:w="7369"/>
      </w:tblGrid>
      <w:tr w:rsidR="00D5693E" w:rsidRPr="007F7361" w:rsidTr="00D3373B">
        <w:tc>
          <w:tcPr>
            <w:tcW w:w="1134" w:type="dxa"/>
            <w:shd w:val="clear" w:color="auto" w:fill="auto"/>
          </w:tcPr>
          <w:p w:rsidR="004D4CDC" w:rsidRPr="007F7361" w:rsidRDefault="004D4CDC" w:rsidP="00D379FA">
            <w:pPr>
              <w:rPr>
                <w:color w:val="000000"/>
              </w:rPr>
            </w:pPr>
            <w:r w:rsidRPr="007F7361">
              <w:rPr>
                <w:color w:val="000000"/>
              </w:rPr>
              <w:t>Onderwerp</w:t>
            </w:r>
          </w:p>
        </w:tc>
        <w:tc>
          <w:tcPr>
            <w:tcW w:w="284" w:type="dxa"/>
            <w:shd w:val="clear" w:color="auto" w:fill="auto"/>
          </w:tcPr>
          <w:p w:rsidR="004D4CDC" w:rsidRPr="007F7361" w:rsidRDefault="004D4CDC" w:rsidP="00D379FA">
            <w:pPr>
              <w:rPr>
                <w:color w:val="000000"/>
              </w:rPr>
            </w:pPr>
          </w:p>
        </w:tc>
        <w:tc>
          <w:tcPr>
            <w:tcW w:w="7369" w:type="dxa"/>
            <w:shd w:val="clear" w:color="auto" w:fill="auto"/>
          </w:tcPr>
          <w:p w:rsidR="00F63ACC" w:rsidRPr="007F7361" w:rsidRDefault="00D5693E" w:rsidP="007F6172">
            <w:pPr>
              <w:rPr>
                <w:color w:val="000000"/>
              </w:rPr>
            </w:pPr>
            <w:bookmarkStart w:id="0" w:name="iOnderwerp"/>
            <w:bookmarkEnd w:id="0"/>
            <w:r w:rsidRPr="007F7361">
              <w:rPr>
                <w:color w:val="000000"/>
              </w:rPr>
              <w:t>Antwoord op vragen van de fractie</w:t>
            </w:r>
            <w:r w:rsidR="007F6172" w:rsidRPr="007F7361">
              <w:rPr>
                <w:color w:val="000000"/>
              </w:rPr>
              <w:t>s van de SGP en</w:t>
            </w:r>
            <w:r w:rsidRPr="007F7361">
              <w:rPr>
                <w:color w:val="000000"/>
              </w:rPr>
              <w:t xml:space="preserve"> D66 m.b.t. raadsvoorstel </w:t>
            </w:r>
            <w:r w:rsidR="007F6172" w:rsidRPr="007F7361">
              <w:rPr>
                <w:color w:val="000000"/>
              </w:rPr>
              <w:t>vaststellen verklaring van geen bedenkingen project Parallelweg fase 1 en 2</w:t>
            </w:r>
          </w:p>
        </w:tc>
      </w:tr>
      <w:tr w:rsidR="004D4CDC" w:rsidRPr="007F7361" w:rsidTr="00D3373B">
        <w:tc>
          <w:tcPr>
            <w:tcW w:w="1134" w:type="dxa"/>
            <w:shd w:val="clear" w:color="auto" w:fill="auto"/>
          </w:tcPr>
          <w:p w:rsidR="004D4CDC" w:rsidRPr="007F7361" w:rsidRDefault="004D4CDC" w:rsidP="00D379FA">
            <w:pPr>
              <w:rPr>
                <w:color w:val="000000"/>
              </w:rPr>
            </w:pPr>
          </w:p>
        </w:tc>
        <w:tc>
          <w:tcPr>
            <w:tcW w:w="284" w:type="dxa"/>
            <w:shd w:val="clear" w:color="auto" w:fill="auto"/>
          </w:tcPr>
          <w:p w:rsidR="004D4CDC" w:rsidRPr="007F7361" w:rsidRDefault="004D4CDC" w:rsidP="00D379FA">
            <w:pPr>
              <w:rPr>
                <w:color w:val="000000"/>
              </w:rPr>
            </w:pPr>
          </w:p>
        </w:tc>
        <w:tc>
          <w:tcPr>
            <w:tcW w:w="7369" w:type="dxa"/>
            <w:shd w:val="clear" w:color="auto" w:fill="auto"/>
          </w:tcPr>
          <w:p w:rsidR="004D4CDC" w:rsidRPr="007F7361" w:rsidRDefault="004D4CDC" w:rsidP="00D379FA">
            <w:pPr>
              <w:rPr>
                <w:color w:val="000000"/>
              </w:rPr>
            </w:pPr>
          </w:p>
        </w:tc>
      </w:tr>
      <w:tr w:rsidR="004D4CDC" w:rsidRPr="007F7361" w:rsidTr="00D3373B">
        <w:tc>
          <w:tcPr>
            <w:tcW w:w="1134" w:type="dxa"/>
            <w:shd w:val="clear" w:color="auto" w:fill="auto"/>
          </w:tcPr>
          <w:p w:rsidR="004D4CDC" w:rsidRPr="007F7361" w:rsidRDefault="004D4CDC" w:rsidP="00D379FA">
            <w:pPr>
              <w:rPr>
                <w:color w:val="000000"/>
              </w:rPr>
            </w:pPr>
            <w:r w:rsidRPr="007F7361">
              <w:rPr>
                <w:color w:val="000000"/>
              </w:rPr>
              <w:t>Datum</w:t>
            </w:r>
          </w:p>
        </w:tc>
        <w:tc>
          <w:tcPr>
            <w:tcW w:w="284" w:type="dxa"/>
            <w:shd w:val="clear" w:color="auto" w:fill="auto"/>
          </w:tcPr>
          <w:p w:rsidR="004D4CDC" w:rsidRPr="007F7361" w:rsidRDefault="004D4CDC" w:rsidP="00D379FA">
            <w:pPr>
              <w:rPr>
                <w:color w:val="000000"/>
              </w:rPr>
            </w:pPr>
          </w:p>
        </w:tc>
        <w:tc>
          <w:tcPr>
            <w:tcW w:w="7369" w:type="dxa"/>
            <w:shd w:val="clear" w:color="auto" w:fill="auto"/>
          </w:tcPr>
          <w:p w:rsidR="004D4CDC" w:rsidRPr="007F7361" w:rsidRDefault="00D5693E" w:rsidP="004704F8">
            <w:pPr>
              <w:rPr>
                <w:color w:val="000000"/>
              </w:rPr>
            </w:pPr>
            <w:bookmarkStart w:id="1" w:name="iDatum"/>
            <w:bookmarkEnd w:id="1"/>
            <w:r w:rsidRPr="007F7361">
              <w:rPr>
                <w:color w:val="000000"/>
              </w:rPr>
              <w:t>22</w:t>
            </w:r>
            <w:r w:rsidR="004704F8" w:rsidRPr="007F7361">
              <w:rPr>
                <w:color w:val="000000"/>
              </w:rPr>
              <w:t xml:space="preserve"> september </w:t>
            </w:r>
            <w:r w:rsidR="00EE3B30" w:rsidRPr="007F7361">
              <w:rPr>
                <w:color w:val="000000"/>
              </w:rPr>
              <w:t>201</w:t>
            </w:r>
            <w:r w:rsidR="00E139E6" w:rsidRPr="007F7361">
              <w:rPr>
                <w:color w:val="000000"/>
              </w:rPr>
              <w:t>5</w:t>
            </w:r>
          </w:p>
        </w:tc>
      </w:tr>
      <w:tr w:rsidR="004D4CDC" w:rsidRPr="007F7361" w:rsidTr="00D3373B">
        <w:tc>
          <w:tcPr>
            <w:tcW w:w="1134" w:type="dxa"/>
            <w:shd w:val="clear" w:color="auto" w:fill="auto"/>
          </w:tcPr>
          <w:p w:rsidR="004D4CDC" w:rsidRPr="007F7361" w:rsidRDefault="004D4CDC" w:rsidP="00D379FA">
            <w:pPr>
              <w:rPr>
                <w:color w:val="000000"/>
              </w:rPr>
            </w:pPr>
          </w:p>
        </w:tc>
        <w:tc>
          <w:tcPr>
            <w:tcW w:w="284" w:type="dxa"/>
            <w:shd w:val="clear" w:color="auto" w:fill="auto"/>
          </w:tcPr>
          <w:p w:rsidR="004D4CDC" w:rsidRPr="007F7361" w:rsidRDefault="004D4CDC" w:rsidP="00D379FA">
            <w:pPr>
              <w:rPr>
                <w:color w:val="000000"/>
              </w:rPr>
            </w:pPr>
          </w:p>
        </w:tc>
        <w:tc>
          <w:tcPr>
            <w:tcW w:w="7369" w:type="dxa"/>
            <w:shd w:val="clear" w:color="auto" w:fill="auto"/>
          </w:tcPr>
          <w:p w:rsidR="004D4CDC" w:rsidRPr="007F7361" w:rsidRDefault="004D4CDC" w:rsidP="00D379FA">
            <w:pPr>
              <w:rPr>
                <w:color w:val="000000"/>
              </w:rPr>
            </w:pPr>
          </w:p>
        </w:tc>
      </w:tr>
      <w:tr w:rsidR="004D4CDC" w:rsidRPr="007F7361" w:rsidTr="00D3373B">
        <w:tc>
          <w:tcPr>
            <w:tcW w:w="1134" w:type="dxa"/>
            <w:shd w:val="clear" w:color="auto" w:fill="auto"/>
          </w:tcPr>
          <w:p w:rsidR="004D4CDC" w:rsidRPr="007F7361" w:rsidRDefault="004D4CDC" w:rsidP="00D379FA">
            <w:pPr>
              <w:rPr>
                <w:color w:val="000000"/>
              </w:rPr>
            </w:pPr>
            <w:r w:rsidRPr="007F7361">
              <w:rPr>
                <w:color w:val="000000"/>
              </w:rPr>
              <w:t>Afzender</w:t>
            </w:r>
          </w:p>
        </w:tc>
        <w:tc>
          <w:tcPr>
            <w:tcW w:w="284" w:type="dxa"/>
            <w:shd w:val="clear" w:color="auto" w:fill="auto"/>
          </w:tcPr>
          <w:p w:rsidR="004D4CDC" w:rsidRPr="007F7361" w:rsidRDefault="004D4CDC" w:rsidP="00D379FA">
            <w:pPr>
              <w:rPr>
                <w:color w:val="000000"/>
              </w:rPr>
            </w:pPr>
          </w:p>
        </w:tc>
        <w:tc>
          <w:tcPr>
            <w:tcW w:w="7369" w:type="dxa"/>
            <w:shd w:val="clear" w:color="auto" w:fill="auto"/>
          </w:tcPr>
          <w:p w:rsidR="004D4CDC" w:rsidRPr="007F7361" w:rsidRDefault="00EE3B30" w:rsidP="00D379FA">
            <w:pPr>
              <w:rPr>
                <w:color w:val="000000"/>
              </w:rPr>
            </w:pPr>
            <w:bookmarkStart w:id="2" w:name="iAfzender"/>
            <w:bookmarkEnd w:id="2"/>
            <w:r w:rsidRPr="007F7361">
              <w:rPr>
                <w:color w:val="000000"/>
              </w:rPr>
              <w:t>Arjan Kraijo</w:t>
            </w:r>
          </w:p>
        </w:tc>
      </w:tr>
      <w:tr w:rsidR="004D4CDC" w:rsidRPr="007F7361" w:rsidTr="00D3373B">
        <w:tc>
          <w:tcPr>
            <w:tcW w:w="1134" w:type="dxa"/>
            <w:shd w:val="clear" w:color="auto" w:fill="auto"/>
          </w:tcPr>
          <w:p w:rsidR="004D4CDC" w:rsidRPr="007F7361" w:rsidRDefault="004D4CDC" w:rsidP="00D379FA">
            <w:pPr>
              <w:rPr>
                <w:color w:val="000000"/>
              </w:rPr>
            </w:pPr>
          </w:p>
        </w:tc>
        <w:tc>
          <w:tcPr>
            <w:tcW w:w="284" w:type="dxa"/>
            <w:shd w:val="clear" w:color="auto" w:fill="auto"/>
          </w:tcPr>
          <w:p w:rsidR="004D4CDC" w:rsidRPr="007F7361" w:rsidRDefault="004D4CDC" w:rsidP="00D379FA">
            <w:pPr>
              <w:rPr>
                <w:color w:val="000000"/>
              </w:rPr>
            </w:pPr>
          </w:p>
        </w:tc>
        <w:tc>
          <w:tcPr>
            <w:tcW w:w="7369" w:type="dxa"/>
            <w:shd w:val="clear" w:color="auto" w:fill="auto"/>
          </w:tcPr>
          <w:p w:rsidR="004D4CDC" w:rsidRPr="007F7361" w:rsidRDefault="004D4CDC" w:rsidP="00D379FA">
            <w:pPr>
              <w:rPr>
                <w:color w:val="000000"/>
              </w:rPr>
            </w:pPr>
          </w:p>
        </w:tc>
      </w:tr>
      <w:tr w:rsidR="004D4CDC" w:rsidRPr="007F7361" w:rsidTr="00D3373B">
        <w:tc>
          <w:tcPr>
            <w:tcW w:w="1134" w:type="dxa"/>
            <w:shd w:val="clear" w:color="auto" w:fill="auto"/>
          </w:tcPr>
          <w:p w:rsidR="004D4CDC" w:rsidRPr="007F7361" w:rsidRDefault="004D4CDC" w:rsidP="005B1250">
            <w:pPr>
              <w:rPr>
                <w:color w:val="000000"/>
              </w:rPr>
            </w:pPr>
            <w:r w:rsidRPr="007F7361">
              <w:rPr>
                <w:color w:val="000000"/>
              </w:rPr>
              <w:t>Tel.nr.</w:t>
            </w:r>
          </w:p>
        </w:tc>
        <w:tc>
          <w:tcPr>
            <w:tcW w:w="284" w:type="dxa"/>
            <w:shd w:val="clear" w:color="auto" w:fill="auto"/>
          </w:tcPr>
          <w:p w:rsidR="004D4CDC" w:rsidRPr="007F7361" w:rsidRDefault="004D4CDC" w:rsidP="005B1250">
            <w:pPr>
              <w:rPr>
                <w:color w:val="000000"/>
              </w:rPr>
            </w:pPr>
          </w:p>
        </w:tc>
        <w:tc>
          <w:tcPr>
            <w:tcW w:w="7369" w:type="dxa"/>
            <w:shd w:val="clear" w:color="auto" w:fill="auto"/>
          </w:tcPr>
          <w:p w:rsidR="004D4CDC" w:rsidRPr="007F7361" w:rsidRDefault="00EE3B30" w:rsidP="00D379FA">
            <w:pPr>
              <w:rPr>
                <w:color w:val="000000"/>
              </w:rPr>
            </w:pPr>
            <w:bookmarkStart w:id="3" w:name="iTelefoon"/>
            <w:bookmarkEnd w:id="3"/>
            <w:r w:rsidRPr="007F7361">
              <w:rPr>
                <w:color w:val="000000"/>
              </w:rPr>
              <w:t>(078) 770 6004</w:t>
            </w:r>
          </w:p>
        </w:tc>
      </w:tr>
      <w:tr w:rsidR="004D4CDC" w:rsidRPr="007F7361" w:rsidTr="00D3373B">
        <w:tc>
          <w:tcPr>
            <w:tcW w:w="1134" w:type="dxa"/>
            <w:shd w:val="clear" w:color="auto" w:fill="auto"/>
          </w:tcPr>
          <w:p w:rsidR="004D4CDC" w:rsidRPr="007F7361" w:rsidRDefault="004D4CDC" w:rsidP="005B1250">
            <w:pPr>
              <w:rPr>
                <w:color w:val="000000"/>
              </w:rPr>
            </w:pPr>
          </w:p>
        </w:tc>
        <w:tc>
          <w:tcPr>
            <w:tcW w:w="284" w:type="dxa"/>
            <w:shd w:val="clear" w:color="auto" w:fill="auto"/>
          </w:tcPr>
          <w:p w:rsidR="004D4CDC" w:rsidRPr="007F7361" w:rsidRDefault="004D4CDC" w:rsidP="005B1250">
            <w:pPr>
              <w:rPr>
                <w:color w:val="000000"/>
              </w:rPr>
            </w:pPr>
          </w:p>
        </w:tc>
        <w:tc>
          <w:tcPr>
            <w:tcW w:w="7369" w:type="dxa"/>
            <w:shd w:val="clear" w:color="auto" w:fill="auto"/>
          </w:tcPr>
          <w:p w:rsidR="004D4CDC" w:rsidRPr="007F7361" w:rsidRDefault="004D4CDC" w:rsidP="00D379FA">
            <w:pPr>
              <w:rPr>
                <w:color w:val="000000"/>
              </w:rPr>
            </w:pPr>
          </w:p>
        </w:tc>
      </w:tr>
      <w:tr w:rsidR="004D4CDC" w:rsidRPr="007F7361" w:rsidTr="00D3373B">
        <w:tc>
          <w:tcPr>
            <w:tcW w:w="1134" w:type="dxa"/>
            <w:shd w:val="clear" w:color="auto" w:fill="auto"/>
          </w:tcPr>
          <w:p w:rsidR="004D4CDC" w:rsidRPr="007F7361" w:rsidRDefault="004D4CDC" w:rsidP="005B1250">
            <w:pPr>
              <w:rPr>
                <w:color w:val="000000"/>
              </w:rPr>
            </w:pPr>
            <w:r w:rsidRPr="007F7361">
              <w:rPr>
                <w:color w:val="000000"/>
              </w:rPr>
              <w:t>Emailadres</w:t>
            </w:r>
          </w:p>
        </w:tc>
        <w:tc>
          <w:tcPr>
            <w:tcW w:w="284" w:type="dxa"/>
            <w:shd w:val="clear" w:color="auto" w:fill="auto"/>
          </w:tcPr>
          <w:p w:rsidR="004D4CDC" w:rsidRPr="007F7361" w:rsidRDefault="004D4CDC" w:rsidP="005B1250">
            <w:pPr>
              <w:rPr>
                <w:color w:val="000000"/>
              </w:rPr>
            </w:pPr>
          </w:p>
        </w:tc>
        <w:bookmarkStart w:id="4" w:name="iEmail"/>
        <w:bookmarkEnd w:id="4"/>
        <w:tc>
          <w:tcPr>
            <w:tcW w:w="7369" w:type="dxa"/>
            <w:shd w:val="clear" w:color="auto" w:fill="auto"/>
          </w:tcPr>
          <w:p w:rsidR="004D4CDC" w:rsidRPr="007F7361" w:rsidRDefault="00D5693E" w:rsidP="00D379FA">
            <w:pPr>
              <w:rPr>
                <w:color w:val="000000"/>
              </w:rPr>
            </w:pPr>
            <w:r w:rsidRPr="007F7361">
              <w:rPr>
                <w:color w:val="000000"/>
              </w:rPr>
              <w:fldChar w:fldCharType="begin"/>
            </w:r>
            <w:r w:rsidRPr="007F7361">
              <w:rPr>
                <w:color w:val="000000"/>
              </w:rPr>
              <w:instrText xml:space="preserve"> HYPERLINK "mailto:a.kraijo@alblasserdam.nl" </w:instrText>
            </w:r>
            <w:r w:rsidRPr="007F7361">
              <w:rPr>
                <w:color w:val="000000"/>
              </w:rPr>
              <w:fldChar w:fldCharType="separate"/>
            </w:r>
            <w:r w:rsidRPr="007F7361">
              <w:rPr>
                <w:rStyle w:val="Hyperlink"/>
                <w:color w:val="000000"/>
              </w:rPr>
              <w:t>a.kraijo@alblasserdam.nl</w:t>
            </w:r>
            <w:r w:rsidRPr="007F7361">
              <w:rPr>
                <w:color w:val="000000"/>
              </w:rPr>
              <w:fldChar w:fldCharType="end"/>
            </w:r>
          </w:p>
        </w:tc>
      </w:tr>
    </w:tbl>
    <w:p w:rsidR="00D379FA" w:rsidRPr="007F7361" w:rsidRDefault="00D379FA" w:rsidP="00D379FA">
      <w:pPr>
        <w:rPr>
          <w:color w:val="000000"/>
        </w:rPr>
      </w:pPr>
    </w:p>
    <w:p w:rsidR="00D379FA" w:rsidRPr="007F7361" w:rsidRDefault="00D379FA" w:rsidP="00D379FA">
      <w:pPr>
        <w:rPr>
          <w:color w:val="000000"/>
        </w:rPr>
      </w:pPr>
    </w:p>
    <w:p w:rsidR="00D379FA" w:rsidRPr="007F7361" w:rsidRDefault="00D379FA" w:rsidP="00D379FA">
      <w:pPr>
        <w:rPr>
          <w:color w:val="000000"/>
        </w:rPr>
      </w:pPr>
    </w:p>
    <w:p w:rsidR="00D379FA" w:rsidRPr="007F7361" w:rsidRDefault="00D379FA" w:rsidP="00D379FA">
      <w:pPr>
        <w:rPr>
          <w:color w:val="000000"/>
        </w:rPr>
      </w:pPr>
      <w:r w:rsidRPr="007F7361">
        <w:rPr>
          <w:color w:val="000000"/>
        </w:rPr>
        <w:t>Geachte raad,</w:t>
      </w:r>
    </w:p>
    <w:p w:rsidR="00D379FA" w:rsidRPr="007F7361" w:rsidRDefault="00D379FA" w:rsidP="00D379FA">
      <w:pPr>
        <w:rPr>
          <w:color w:val="000000"/>
        </w:rPr>
      </w:pPr>
    </w:p>
    <w:p w:rsidR="00D379FA" w:rsidRPr="007F7361" w:rsidRDefault="00D379FA" w:rsidP="00D379FA">
      <w:pPr>
        <w:rPr>
          <w:color w:val="000000"/>
        </w:rPr>
      </w:pPr>
    </w:p>
    <w:p w:rsidR="007F6172" w:rsidRPr="00FD1722" w:rsidRDefault="00D379FA" w:rsidP="00D379FA">
      <w:pPr>
        <w:rPr>
          <w:color w:val="000000"/>
        </w:rPr>
      </w:pPr>
      <w:r w:rsidRPr="007F7361">
        <w:rPr>
          <w:rFonts w:cs="Arial"/>
          <w:color w:val="000000"/>
        </w:rPr>
        <w:t xml:space="preserve">Bijgevoegd </w:t>
      </w:r>
      <w:r w:rsidR="00D5693E" w:rsidRPr="007F7361">
        <w:rPr>
          <w:rFonts w:cs="Arial"/>
          <w:color w:val="000000"/>
        </w:rPr>
        <w:t xml:space="preserve">vindt u de antwoorden op de vragen zoals door de fractie van </w:t>
      </w:r>
      <w:r w:rsidR="007F6172" w:rsidRPr="007F7361">
        <w:rPr>
          <w:rFonts w:cs="Arial"/>
          <w:color w:val="000000"/>
        </w:rPr>
        <w:t xml:space="preserve">de SGP en </w:t>
      </w:r>
      <w:r w:rsidR="00D5693E" w:rsidRPr="007F7361">
        <w:rPr>
          <w:rFonts w:cs="Arial"/>
          <w:color w:val="000000"/>
        </w:rPr>
        <w:t xml:space="preserve">D66 zijn gesteld met betrekking tot het raadsvoorstel </w:t>
      </w:r>
      <w:r w:rsidR="007F6172" w:rsidRPr="00FD1722">
        <w:rPr>
          <w:color w:val="000000"/>
        </w:rPr>
        <w:t>vaststellen verklaring van geen bedenkingen project Parallelweg fase 1 en 2</w:t>
      </w:r>
      <w:r w:rsidR="00FE04B4">
        <w:rPr>
          <w:color w:val="000000"/>
        </w:rPr>
        <w:t xml:space="preserve">. </w:t>
      </w:r>
    </w:p>
    <w:p w:rsidR="00D5693E" w:rsidRPr="007F7361" w:rsidRDefault="00D5693E" w:rsidP="00D379FA">
      <w:pPr>
        <w:rPr>
          <w:rFonts w:cs="Arial"/>
          <w:color w:val="000000"/>
        </w:rPr>
      </w:pPr>
      <w:r w:rsidRPr="007F7361">
        <w:rPr>
          <w:rFonts w:cs="Arial"/>
          <w:color w:val="000000"/>
        </w:rPr>
        <w:t>Dit raadsvoorstel staat op de agenda van de raadsvergadering van 22 september 2015.</w:t>
      </w:r>
    </w:p>
    <w:p w:rsidR="00D5693E" w:rsidRPr="007F7361" w:rsidRDefault="00D5693E" w:rsidP="00D379FA">
      <w:pPr>
        <w:rPr>
          <w:rFonts w:cs="Arial"/>
          <w:color w:val="000000"/>
        </w:rPr>
      </w:pPr>
    </w:p>
    <w:p w:rsidR="00E6089F" w:rsidRPr="00FD1722" w:rsidRDefault="00E6089F" w:rsidP="00E6089F">
      <w:pPr>
        <w:rPr>
          <w:rFonts w:cs="Arial"/>
          <w:b/>
        </w:rPr>
      </w:pPr>
      <w:r w:rsidRPr="00FD1722">
        <w:rPr>
          <w:rFonts w:cs="Arial"/>
          <w:b/>
        </w:rPr>
        <w:t>SGP</w:t>
      </w:r>
    </w:p>
    <w:p w:rsidR="00E6089F" w:rsidRPr="00FD1722" w:rsidRDefault="00E6089F" w:rsidP="00E6089F">
      <w:pPr>
        <w:pStyle w:val="Lijstalinea"/>
        <w:ind w:left="0"/>
        <w:rPr>
          <w:rFonts w:ascii="Arial" w:hAnsi="Arial" w:cs="Arial"/>
          <w:sz w:val="20"/>
          <w:szCs w:val="20"/>
        </w:rPr>
      </w:pPr>
      <w:r w:rsidRPr="00FD1722">
        <w:rPr>
          <w:rFonts w:ascii="Arial" w:hAnsi="Arial" w:cs="Arial"/>
          <w:sz w:val="20"/>
          <w:szCs w:val="20"/>
        </w:rPr>
        <w:t>Vraag: Wat zijn de financiële consequenties wanneer er 10 woningen vervallen? Hoe drukt zich dat verder uit? En wat heeft dat voor consequenties voor de lopende Woonkracht10 projecten?</w:t>
      </w:r>
    </w:p>
    <w:p w:rsidR="00E6089F" w:rsidRPr="00FD1722" w:rsidRDefault="00E6089F" w:rsidP="00E6089F">
      <w:pPr>
        <w:pStyle w:val="Lijstalinea"/>
        <w:ind w:left="0"/>
        <w:rPr>
          <w:rFonts w:ascii="Arial" w:hAnsi="Arial" w:cs="Arial"/>
          <w:sz w:val="20"/>
          <w:szCs w:val="20"/>
        </w:rPr>
      </w:pPr>
    </w:p>
    <w:p w:rsidR="00E6089F" w:rsidRPr="00FD1722" w:rsidRDefault="00E6089F" w:rsidP="00E6089F">
      <w:pPr>
        <w:pStyle w:val="Lijstalinea"/>
        <w:ind w:left="0"/>
        <w:rPr>
          <w:rFonts w:ascii="Arial" w:hAnsi="Arial" w:cs="Arial"/>
          <w:sz w:val="20"/>
          <w:szCs w:val="20"/>
        </w:rPr>
      </w:pPr>
      <w:r w:rsidRPr="00FD1722">
        <w:rPr>
          <w:rFonts w:ascii="Arial" w:hAnsi="Arial" w:cs="Arial"/>
          <w:sz w:val="20"/>
          <w:szCs w:val="20"/>
        </w:rPr>
        <w:t>Antwoord: De financiële consequenties zitten na een eerste voorzichtige inventarisatie zowel bij de gemeente als bij Woonkracht</w:t>
      </w:r>
      <w:r w:rsidR="00024A6E" w:rsidRPr="00FD1722">
        <w:rPr>
          <w:rFonts w:ascii="Arial" w:hAnsi="Arial" w:cs="Arial"/>
          <w:sz w:val="20"/>
          <w:szCs w:val="20"/>
        </w:rPr>
        <w:t>10</w:t>
      </w:r>
      <w:r w:rsidRPr="00FD1722">
        <w:rPr>
          <w:rFonts w:ascii="Arial" w:hAnsi="Arial" w:cs="Arial"/>
          <w:sz w:val="20"/>
          <w:szCs w:val="20"/>
        </w:rPr>
        <w:t>. Minder  woningen betekent een groter grondverlies</w:t>
      </w:r>
      <w:r w:rsidR="00024A6E" w:rsidRPr="00FD1722">
        <w:rPr>
          <w:rFonts w:ascii="Arial" w:hAnsi="Arial" w:cs="Arial"/>
          <w:sz w:val="20"/>
          <w:szCs w:val="20"/>
        </w:rPr>
        <w:t xml:space="preserve"> voor W</w:t>
      </w:r>
      <w:r w:rsidRPr="00FD1722">
        <w:rPr>
          <w:rFonts w:ascii="Arial" w:hAnsi="Arial" w:cs="Arial"/>
          <w:sz w:val="20"/>
          <w:szCs w:val="20"/>
        </w:rPr>
        <w:t>oonkracht</w:t>
      </w:r>
      <w:r w:rsidR="00024A6E" w:rsidRPr="00FD1722">
        <w:rPr>
          <w:rFonts w:ascii="Arial" w:hAnsi="Arial" w:cs="Arial"/>
          <w:sz w:val="20"/>
          <w:szCs w:val="20"/>
        </w:rPr>
        <w:t>10</w:t>
      </w:r>
      <w:r w:rsidRPr="00FD1722">
        <w:rPr>
          <w:rFonts w:ascii="Arial" w:hAnsi="Arial" w:cs="Arial"/>
          <w:sz w:val="20"/>
          <w:szCs w:val="20"/>
        </w:rPr>
        <w:t>. Het gehele project laat voor Woonkracht</w:t>
      </w:r>
      <w:r w:rsidR="00024A6E" w:rsidRPr="00FD1722">
        <w:rPr>
          <w:rFonts w:ascii="Arial" w:hAnsi="Arial" w:cs="Arial"/>
          <w:sz w:val="20"/>
          <w:szCs w:val="20"/>
        </w:rPr>
        <w:t>10</w:t>
      </w:r>
      <w:r w:rsidRPr="00FD1722">
        <w:rPr>
          <w:rFonts w:ascii="Arial" w:hAnsi="Arial" w:cs="Arial"/>
          <w:sz w:val="20"/>
          <w:szCs w:val="20"/>
        </w:rPr>
        <w:t xml:space="preserve"> ook zonder aanpassingen al een verlies zien. Indien het aantal woningen in dit project naar beneden wordt bijgesteld wordt het verlies nog groter. Indien tien woningen geschrapt worden </w:t>
      </w:r>
      <w:r w:rsidR="00024A6E" w:rsidRPr="00FD1722">
        <w:rPr>
          <w:rFonts w:ascii="Arial" w:hAnsi="Arial" w:cs="Arial"/>
          <w:sz w:val="20"/>
          <w:szCs w:val="20"/>
        </w:rPr>
        <w:t>wordt het</w:t>
      </w:r>
      <w:r w:rsidRPr="00FD1722">
        <w:rPr>
          <w:rFonts w:ascii="Arial" w:hAnsi="Arial" w:cs="Arial"/>
          <w:sz w:val="20"/>
          <w:szCs w:val="20"/>
        </w:rPr>
        <w:t xml:space="preserve"> extra verlies </w:t>
      </w:r>
      <w:r w:rsidR="00FD1722" w:rsidRPr="00FD1722">
        <w:rPr>
          <w:rFonts w:ascii="Arial" w:hAnsi="Arial" w:cs="Arial"/>
          <w:sz w:val="20"/>
          <w:szCs w:val="20"/>
        </w:rPr>
        <w:t>voorzichtig geschat op 35</w:t>
      </w:r>
      <w:r w:rsidRPr="00FD1722">
        <w:rPr>
          <w:rFonts w:ascii="Arial" w:hAnsi="Arial" w:cs="Arial"/>
          <w:sz w:val="20"/>
          <w:szCs w:val="20"/>
        </w:rPr>
        <w:t xml:space="preserve">0.000 Euro. </w:t>
      </w:r>
      <w:r w:rsidR="00892842">
        <w:rPr>
          <w:rFonts w:ascii="Arial" w:hAnsi="Arial" w:cs="Arial"/>
          <w:sz w:val="20"/>
          <w:szCs w:val="20"/>
        </w:rPr>
        <w:t>(de onrendabele top voor Woonkracht10 wordt te groot)</w:t>
      </w:r>
      <w:bookmarkStart w:id="5" w:name="_GoBack"/>
      <w:bookmarkEnd w:id="5"/>
    </w:p>
    <w:p w:rsidR="00881FD5" w:rsidRDefault="00881FD5" w:rsidP="00E6089F">
      <w:pPr>
        <w:pStyle w:val="Lijstalinea"/>
        <w:ind w:left="0"/>
        <w:rPr>
          <w:rFonts w:ascii="Arial" w:hAnsi="Arial" w:cs="Arial"/>
          <w:sz w:val="20"/>
          <w:szCs w:val="20"/>
        </w:rPr>
      </w:pPr>
      <w:r>
        <w:rPr>
          <w:rFonts w:ascii="Arial" w:hAnsi="Arial" w:cs="Arial"/>
          <w:sz w:val="20"/>
          <w:szCs w:val="20"/>
        </w:rPr>
        <w:t>Woonkracht10 geeft aan dat het verminderen van het aantal woningen niet acceptabel is. Het wordt dan onmogelijk om binnen de (</w:t>
      </w:r>
      <w:r w:rsidR="00892842">
        <w:rPr>
          <w:rFonts w:ascii="Arial" w:hAnsi="Arial" w:cs="Arial"/>
          <w:sz w:val="20"/>
          <w:szCs w:val="20"/>
        </w:rPr>
        <w:t>financiële</w:t>
      </w:r>
      <w:r>
        <w:rPr>
          <w:rFonts w:ascii="Arial" w:hAnsi="Arial" w:cs="Arial"/>
          <w:sz w:val="20"/>
          <w:szCs w:val="20"/>
        </w:rPr>
        <w:t>) grenzen van de sociale huur woningen, grondgebonden huurwoningen te realiseren. In Alblasserdam is met name aan grondgebonden huurwoningen grote behoefte. Indien het aantal woningen in dit plan gebied verminderd wordt vervalt de mogelijkheid om op deze plek voor deze doelgroep te bouwen.</w:t>
      </w:r>
    </w:p>
    <w:p w:rsidR="00FD1722" w:rsidRPr="00FD1722" w:rsidRDefault="00FD1722" w:rsidP="00E6089F">
      <w:pPr>
        <w:pStyle w:val="Lijstalinea"/>
        <w:ind w:left="0"/>
        <w:rPr>
          <w:rFonts w:ascii="Arial" w:hAnsi="Arial" w:cs="Arial"/>
          <w:sz w:val="20"/>
          <w:szCs w:val="20"/>
        </w:rPr>
      </w:pPr>
    </w:p>
    <w:p w:rsidR="00E6089F" w:rsidRPr="00FD1722" w:rsidRDefault="00024A6E" w:rsidP="00E6089F">
      <w:pPr>
        <w:pStyle w:val="Lijstalinea"/>
        <w:ind w:left="0"/>
        <w:rPr>
          <w:rFonts w:ascii="Arial" w:hAnsi="Arial" w:cs="Arial"/>
          <w:sz w:val="20"/>
          <w:szCs w:val="20"/>
        </w:rPr>
      </w:pPr>
      <w:r w:rsidRPr="00FD1722">
        <w:rPr>
          <w:rFonts w:ascii="Arial" w:hAnsi="Arial" w:cs="Arial"/>
          <w:sz w:val="20"/>
          <w:szCs w:val="20"/>
        </w:rPr>
        <w:t>Bestuurlijk</w:t>
      </w:r>
      <w:r w:rsidR="00E6089F" w:rsidRPr="00FD1722">
        <w:rPr>
          <w:rFonts w:ascii="Arial" w:hAnsi="Arial" w:cs="Arial"/>
          <w:sz w:val="20"/>
          <w:szCs w:val="20"/>
        </w:rPr>
        <w:t xml:space="preserve"> zullen </w:t>
      </w:r>
      <w:r w:rsidR="00881FD5">
        <w:rPr>
          <w:rFonts w:ascii="Arial" w:hAnsi="Arial" w:cs="Arial"/>
          <w:sz w:val="20"/>
          <w:szCs w:val="20"/>
        </w:rPr>
        <w:t xml:space="preserve">indien </w:t>
      </w:r>
      <w:r w:rsidR="00892842">
        <w:rPr>
          <w:rFonts w:ascii="Arial" w:hAnsi="Arial" w:cs="Arial"/>
          <w:sz w:val="20"/>
          <w:szCs w:val="20"/>
        </w:rPr>
        <w:t xml:space="preserve">de raad kiest voor </w:t>
      </w:r>
      <w:r w:rsidR="00881FD5">
        <w:rPr>
          <w:rFonts w:ascii="Arial" w:hAnsi="Arial" w:cs="Arial"/>
          <w:sz w:val="20"/>
          <w:szCs w:val="20"/>
        </w:rPr>
        <w:t xml:space="preserve">minder woningen, </w:t>
      </w:r>
      <w:r w:rsidR="00E6089F" w:rsidRPr="00FD1722">
        <w:rPr>
          <w:rFonts w:ascii="Arial" w:hAnsi="Arial" w:cs="Arial"/>
          <w:sz w:val="20"/>
          <w:szCs w:val="20"/>
        </w:rPr>
        <w:t xml:space="preserve">alle </w:t>
      </w:r>
      <w:r w:rsidR="00892842">
        <w:rPr>
          <w:rFonts w:ascii="Arial" w:hAnsi="Arial" w:cs="Arial"/>
          <w:sz w:val="20"/>
          <w:szCs w:val="20"/>
        </w:rPr>
        <w:t xml:space="preserve">integrale </w:t>
      </w:r>
      <w:r w:rsidR="00E6089F" w:rsidRPr="00FD1722">
        <w:rPr>
          <w:rFonts w:ascii="Arial" w:hAnsi="Arial" w:cs="Arial"/>
          <w:sz w:val="20"/>
          <w:szCs w:val="20"/>
        </w:rPr>
        <w:t xml:space="preserve">afspraken </w:t>
      </w:r>
      <w:r w:rsidR="00892842">
        <w:rPr>
          <w:rFonts w:ascii="Arial" w:hAnsi="Arial" w:cs="Arial"/>
          <w:sz w:val="20"/>
          <w:szCs w:val="20"/>
        </w:rPr>
        <w:t xml:space="preserve">met Woonkracht10, verbonden aan dit project </w:t>
      </w:r>
      <w:r w:rsidR="00E6089F" w:rsidRPr="00FD1722">
        <w:rPr>
          <w:rFonts w:ascii="Arial" w:hAnsi="Arial" w:cs="Arial"/>
          <w:sz w:val="20"/>
          <w:szCs w:val="20"/>
        </w:rPr>
        <w:t>tegen het licht gehouden moeten worden.</w:t>
      </w:r>
      <w:r w:rsidR="00892842">
        <w:rPr>
          <w:rFonts w:ascii="Arial" w:hAnsi="Arial" w:cs="Arial"/>
          <w:sz w:val="20"/>
          <w:szCs w:val="20"/>
        </w:rPr>
        <w:t xml:space="preserve"> Het gaat hierbij om </w:t>
      </w:r>
      <w:r w:rsidR="00881FD5">
        <w:rPr>
          <w:rFonts w:ascii="Arial" w:hAnsi="Arial" w:cs="Arial"/>
          <w:sz w:val="20"/>
          <w:szCs w:val="20"/>
        </w:rPr>
        <w:t xml:space="preserve">de afspraken met Woonkracht10 </w:t>
      </w:r>
      <w:r w:rsidR="00892842">
        <w:rPr>
          <w:rFonts w:ascii="Arial" w:hAnsi="Arial" w:cs="Arial"/>
          <w:sz w:val="20"/>
          <w:szCs w:val="20"/>
        </w:rPr>
        <w:t>over de betrokkenheid bij</w:t>
      </w:r>
      <w:r w:rsidRPr="00FD1722">
        <w:rPr>
          <w:rFonts w:ascii="Arial" w:hAnsi="Arial" w:cs="Arial"/>
          <w:sz w:val="20"/>
          <w:szCs w:val="20"/>
        </w:rPr>
        <w:t xml:space="preserve"> de uitbreiding van Dok11+ (fase 3) en de afspraken die gemaakt zijn m.b.t. de opstallen van KDO. Deze laatste zijn van essentieel belang voor het doorgaan van het project Sporthal Molenzicht (de opbrengst van de verkoop van de opstallen van KDO worden door KDO geïnvesteerd in de sporthal)</w:t>
      </w:r>
      <w:r w:rsidR="00881FD5">
        <w:rPr>
          <w:rFonts w:ascii="Arial" w:hAnsi="Arial" w:cs="Arial"/>
          <w:sz w:val="20"/>
          <w:szCs w:val="20"/>
        </w:rPr>
        <w:t xml:space="preserve">. </w:t>
      </w:r>
    </w:p>
    <w:p w:rsidR="00024A6E" w:rsidRPr="00FD1722" w:rsidRDefault="00024A6E" w:rsidP="00E6089F">
      <w:pPr>
        <w:pStyle w:val="Lijstalinea"/>
        <w:ind w:left="0"/>
        <w:rPr>
          <w:rFonts w:ascii="Arial" w:hAnsi="Arial" w:cs="Arial"/>
          <w:sz w:val="20"/>
          <w:szCs w:val="20"/>
        </w:rPr>
      </w:pPr>
    </w:p>
    <w:p w:rsidR="00E6089F" w:rsidRPr="00FD1722" w:rsidRDefault="00E6089F" w:rsidP="00E6089F">
      <w:pPr>
        <w:pStyle w:val="Lijstalinea"/>
        <w:ind w:left="0"/>
        <w:rPr>
          <w:rFonts w:ascii="Arial" w:hAnsi="Arial" w:cs="Arial"/>
          <w:sz w:val="20"/>
          <w:szCs w:val="20"/>
        </w:rPr>
      </w:pPr>
    </w:p>
    <w:p w:rsidR="00E6089F" w:rsidRPr="00FD1722" w:rsidRDefault="00E6089F" w:rsidP="00E6089F">
      <w:pPr>
        <w:rPr>
          <w:rFonts w:cs="Arial"/>
          <w:b/>
        </w:rPr>
      </w:pPr>
      <w:r w:rsidRPr="00FD1722">
        <w:rPr>
          <w:rFonts w:cs="Arial"/>
          <w:b/>
        </w:rPr>
        <w:t>D66</w:t>
      </w:r>
    </w:p>
    <w:p w:rsidR="00E6089F" w:rsidRPr="00FD1722" w:rsidRDefault="00E6089F" w:rsidP="00E6089F">
      <w:pPr>
        <w:ind w:left="117"/>
      </w:pPr>
      <w:r w:rsidRPr="00FD1722">
        <w:rPr>
          <w:rFonts w:cs="Arial"/>
        </w:rPr>
        <w:t> </w:t>
      </w:r>
    </w:p>
    <w:p w:rsidR="00FD1722" w:rsidRPr="00FD1722" w:rsidRDefault="007F7361" w:rsidP="00FD1722">
      <w:pPr>
        <w:rPr>
          <w:rFonts w:cs="Arial"/>
        </w:rPr>
      </w:pPr>
      <w:r>
        <w:rPr>
          <w:rFonts w:cs="Arial"/>
        </w:rPr>
        <w:t xml:space="preserve">Vraag: </w:t>
      </w:r>
      <w:r w:rsidR="00E6089F" w:rsidRPr="00FD1722">
        <w:rPr>
          <w:rFonts w:cs="Arial"/>
        </w:rPr>
        <w:t xml:space="preserve">Heeft een verkaveling van de situatie zoals bijgevoegd </w:t>
      </w:r>
      <w:r w:rsidR="00FD1722" w:rsidRPr="00FD1722">
        <w:rPr>
          <w:rFonts w:cs="Arial"/>
        </w:rPr>
        <w:t xml:space="preserve">(zie bijlage opgesteld door D66) </w:t>
      </w:r>
      <w:r w:rsidR="00E6089F" w:rsidRPr="00FD1722">
        <w:rPr>
          <w:rFonts w:cs="Arial"/>
        </w:rPr>
        <w:t>ooit onderdeel uitgemaakt</w:t>
      </w:r>
      <w:r w:rsidR="00FD1722">
        <w:rPr>
          <w:rFonts w:cs="Arial"/>
        </w:rPr>
        <w:t xml:space="preserve"> van dit dossier tot nu aan toe? Zo ja, wat was hier het oordeel over?</w:t>
      </w:r>
      <w:r>
        <w:rPr>
          <w:rFonts w:cs="Arial"/>
        </w:rPr>
        <w:t xml:space="preserve"> Zo nee, is de wethouder bereid deze indeling ter oordeel voor te leggen aan de stedenbouwkundige en Woonkracht10 en de huidige besluitvorming daarvoor op te schorten?</w:t>
      </w:r>
    </w:p>
    <w:p w:rsidR="00FD1722" w:rsidRPr="00FD1722" w:rsidRDefault="00FD1722" w:rsidP="00FD1722">
      <w:pPr>
        <w:rPr>
          <w:rFonts w:cs="Arial"/>
        </w:rPr>
      </w:pPr>
    </w:p>
    <w:p w:rsidR="00881FD5" w:rsidRDefault="00FD1722" w:rsidP="00D0270B">
      <w:pPr>
        <w:rPr>
          <w:rFonts w:cs="Arial"/>
        </w:rPr>
      </w:pPr>
      <w:r w:rsidRPr="00FD1722">
        <w:rPr>
          <w:rFonts w:cs="Arial"/>
        </w:rPr>
        <w:t>Antwoord:</w:t>
      </w:r>
      <w:r w:rsidR="00E6089F" w:rsidRPr="00FD1722">
        <w:rPr>
          <w:rFonts w:cs="Arial"/>
          <w:color w:val="1F497D"/>
        </w:rPr>
        <w:t xml:space="preserve"> </w:t>
      </w:r>
      <w:r w:rsidRPr="00FD1722">
        <w:rPr>
          <w:rFonts w:cs="Arial"/>
        </w:rPr>
        <w:t>E</w:t>
      </w:r>
      <w:r w:rsidR="00E6089F" w:rsidRPr="00FD1722">
        <w:rPr>
          <w:rFonts w:cs="Arial"/>
        </w:rPr>
        <w:t>en dergelijke situatie</w:t>
      </w:r>
      <w:r w:rsidRPr="00FD1722">
        <w:rPr>
          <w:rFonts w:cs="Arial"/>
        </w:rPr>
        <w:t xml:space="preserve"> zoals in de schets naar voren wordt gebracht is inderdaad in een eerder stadium met Woonkracht10 besproken.</w:t>
      </w:r>
      <w:r w:rsidR="00881FD5">
        <w:rPr>
          <w:rFonts w:cs="Arial"/>
        </w:rPr>
        <w:t xml:space="preserve"> Dit plan heeft het echter niet gehaald, met name op basis van het aantal woningen wat in het plan te weinig is. Stedenbouwkundig zal het voorgestelde </w:t>
      </w:r>
      <w:r w:rsidR="00892842">
        <w:rPr>
          <w:rFonts w:cs="Arial"/>
        </w:rPr>
        <w:t>plan van D66</w:t>
      </w:r>
      <w:r w:rsidR="00881FD5">
        <w:rPr>
          <w:rFonts w:cs="Arial"/>
        </w:rPr>
        <w:t xml:space="preserve"> na eerste scan </w:t>
      </w:r>
      <w:r w:rsidR="00892842">
        <w:rPr>
          <w:rFonts w:cs="Arial"/>
        </w:rPr>
        <w:t xml:space="preserve">waarschijnlijk </w:t>
      </w:r>
      <w:r w:rsidR="00881FD5">
        <w:rPr>
          <w:rFonts w:cs="Arial"/>
        </w:rPr>
        <w:t xml:space="preserve">op vergelijkbare en mogelijk zelfs meer bezwaren stuiten; er is ook in het voorgestelde plan </w:t>
      </w:r>
      <w:r w:rsidR="00892842">
        <w:rPr>
          <w:rFonts w:cs="Arial"/>
        </w:rPr>
        <w:t xml:space="preserve">van D66 </w:t>
      </w:r>
      <w:r w:rsidR="00881FD5">
        <w:rPr>
          <w:rFonts w:cs="Arial"/>
        </w:rPr>
        <w:t xml:space="preserve">sprake van verdichting van het aantal </w:t>
      </w:r>
      <w:r w:rsidR="00881FD5">
        <w:rPr>
          <w:rFonts w:cs="Arial"/>
        </w:rPr>
        <w:lastRenderedPageBreak/>
        <w:t xml:space="preserve">woningen/ha ten opzichte van de omliggende wijken, </w:t>
      </w:r>
      <w:r w:rsidR="00892842">
        <w:rPr>
          <w:rFonts w:cs="Arial"/>
        </w:rPr>
        <w:t>bovendien staan</w:t>
      </w:r>
      <w:r w:rsidR="00881FD5">
        <w:rPr>
          <w:rFonts w:cs="Arial"/>
        </w:rPr>
        <w:t xml:space="preserve"> de lijnen van bebouwing haaks op de lijnen van de overige bebouwing</w:t>
      </w:r>
      <w:r w:rsidR="00892842">
        <w:rPr>
          <w:rFonts w:cs="Arial"/>
        </w:rPr>
        <w:t xml:space="preserve"> en het stratenpatroon.</w:t>
      </w:r>
    </w:p>
    <w:p w:rsidR="00892842" w:rsidRPr="00FD1722" w:rsidRDefault="00892842" w:rsidP="00FD1722">
      <w:pPr>
        <w:rPr>
          <w:rFonts w:cs="Arial"/>
        </w:rPr>
      </w:pPr>
    </w:p>
    <w:p w:rsidR="00FD1722" w:rsidRPr="00FD1722" w:rsidRDefault="00FD1722" w:rsidP="00FD1722">
      <w:pPr>
        <w:rPr>
          <w:rFonts w:cs="Arial"/>
        </w:rPr>
      </w:pPr>
      <w:r w:rsidRPr="00FD1722">
        <w:rPr>
          <w:rFonts w:cs="Arial"/>
        </w:rPr>
        <w:t>De kwaliteit van de woningen wordt niet alleen door een tuin ervaren, maar zeker ook door de woning zelf. De huidige woningen hebben een beukmaat van 5,4 m</w:t>
      </w:r>
      <w:r w:rsidR="00D0270B">
        <w:rPr>
          <w:rFonts w:cs="Arial"/>
        </w:rPr>
        <w:t>e</w:t>
      </w:r>
      <w:r w:rsidRPr="00FD1722">
        <w:rPr>
          <w:rFonts w:cs="Arial"/>
        </w:rPr>
        <w:t>t</w:t>
      </w:r>
      <w:r w:rsidR="00D0270B">
        <w:rPr>
          <w:rFonts w:cs="Arial"/>
        </w:rPr>
        <w:t>e</w:t>
      </w:r>
      <w:r w:rsidRPr="00FD1722">
        <w:rPr>
          <w:rFonts w:cs="Arial"/>
        </w:rPr>
        <w:t>r met een woonop</w:t>
      </w:r>
      <w:r w:rsidR="00D0270B">
        <w:rPr>
          <w:rFonts w:cs="Arial"/>
        </w:rPr>
        <w:t>p</w:t>
      </w:r>
      <w:r w:rsidRPr="00FD1722">
        <w:rPr>
          <w:rFonts w:cs="Arial"/>
        </w:rPr>
        <w:t xml:space="preserve">ervlakte van 125m2. De </w:t>
      </w:r>
      <w:r w:rsidR="00D0270B" w:rsidRPr="00FD1722">
        <w:rPr>
          <w:rFonts w:cs="Arial"/>
        </w:rPr>
        <w:t>zolderverdieping</w:t>
      </w:r>
      <w:r w:rsidRPr="00FD1722">
        <w:rPr>
          <w:rFonts w:cs="Arial"/>
        </w:rPr>
        <w:t xml:space="preserve"> is een volledige ingerichte verdieping waardoor de woning 5 slaapkamers heeft. Voor sociale grondgebonden woningbouw zitten deze woningen in het hogere segment. De ervaring van Woonkracht10 leert dat niet iedereen in een sociale huurwoning een grote tuin prevaleert. Van de 40 sociale huurwoningen aan de </w:t>
      </w:r>
      <w:proofErr w:type="spellStart"/>
      <w:r w:rsidRPr="00FD1722">
        <w:rPr>
          <w:rFonts w:cs="Arial"/>
        </w:rPr>
        <w:t>Alblasserwerf</w:t>
      </w:r>
      <w:proofErr w:type="spellEnd"/>
      <w:r w:rsidRPr="00FD1722">
        <w:rPr>
          <w:rFonts w:cs="Arial"/>
        </w:rPr>
        <w:t xml:space="preserve"> die slecht de beschikking hebben over een terras aan de achterkant zijn er reeds 36 verhuurd. De inschatting van Woonkracht10 is dat de geprognotiseerde woningen zeer intrek zullen zijn en blijven. </w:t>
      </w:r>
    </w:p>
    <w:p w:rsidR="00C10062" w:rsidRPr="007F7361" w:rsidRDefault="00C10062" w:rsidP="00C10062">
      <w:pPr>
        <w:rPr>
          <w:rFonts w:cs="Arial"/>
          <w:color w:val="000000"/>
        </w:rPr>
      </w:pPr>
    </w:p>
    <w:p w:rsidR="007F7361" w:rsidRPr="007F7361" w:rsidRDefault="007F7361" w:rsidP="00C10062">
      <w:pPr>
        <w:rPr>
          <w:rFonts w:cs="Arial"/>
          <w:color w:val="000000"/>
        </w:rPr>
      </w:pPr>
      <w:r w:rsidRPr="007F7361">
        <w:rPr>
          <w:rFonts w:cs="Arial"/>
          <w:color w:val="000000"/>
        </w:rPr>
        <w:t>Vraag: Welke financieel verlies lijdt welke partij en is te koppelen aan het minder bouwen van 4 woningen?</w:t>
      </w:r>
    </w:p>
    <w:p w:rsidR="007F7361" w:rsidRPr="007F7361" w:rsidRDefault="007F7361" w:rsidP="00C10062">
      <w:pPr>
        <w:rPr>
          <w:rFonts w:cs="Arial"/>
          <w:color w:val="000000"/>
        </w:rPr>
      </w:pPr>
      <w:r w:rsidRPr="007F7361">
        <w:rPr>
          <w:rFonts w:cs="Arial"/>
          <w:color w:val="000000"/>
        </w:rPr>
        <w:t>Antwoord: Zie antwoord op de vraag door de SGP gesteld. Voor 4 woningen wordt het extra verlies geraamd op 140.000,-</w:t>
      </w:r>
    </w:p>
    <w:p w:rsidR="00FE04B4" w:rsidRPr="00FE04B4" w:rsidRDefault="00FE04B4" w:rsidP="00C10062">
      <w:pPr>
        <w:rPr>
          <w:rFonts w:cs="Arial"/>
          <w:color w:val="FF0000"/>
        </w:rPr>
      </w:pPr>
    </w:p>
    <w:sectPr w:rsidR="00FE04B4" w:rsidRPr="00FE04B4">
      <w:pgSz w:w="11906" w:h="16838"/>
      <w:pgMar w:top="1531" w:right="1701"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5C4"/>
    <w:multiLevelType w:val="hybridMultilevel"/>
    <w:tmpl w:val="AC5024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42BA9"/>
    <w:multiLevelType w:val="hybridMultilevel"/>
    <w:tmpl w:val="531CC3C2"/>
    <w:lvl w:ilvl="0" w:tplc="0413000F">
      <w:start w:val="1"/>
      <w:numFmt w:val="decimal"/>
      <w:lvlText w:val="%1."/>
      <w:lvlJc w:val="left"/>
      <w:pPr>
        <w:ind w:left="234" w:hanging="360"/>
      </w:pPr>
    </w:lvl>
    <w:lvl w:ilvl="1" w:tplc="04130019">
      <w:start w:val="1"/>
      <w:numFmt w:val="lowerLetter"/>
      <w:lvlText w:val="%2."/>
      <w:lvlJc w:val="left"/>
      <w:pPr>
        <w:ind w:left="954" w:hanging="360"/>
      </w:pPr>
    </w:lvl>
    <w:lvl w:ilvl="2" w:tplc="0413001B">
      <w:start w:val="1"/>
      <w:numFmt w:val="lowerRoman"/>
      <w:lvlText w:val="%3."/>
      <w:lvlJc w:val="right"/>
      <w:pPr>
        <w:ind w:left="1674" w:hanging="180"/>
      </w:pPr>
    </w:lvl>
    <w:lvl w:ilvl="3" w:tplc="0413000F">
      <w:start w:val="1"/>
      <w:numFmt w:val="decimal"/>
      <w:lvlText w:val="%4."/>
      <w:lvlJc w:val="left"/>
      <w:pPr>
        <w:ind w:left="2394" w:hanging="360"/>
      </w:pPr>
    </w:lvl>
    <w:lvl w:ilvl="4" w:tplc="04130019">
      <w:start w:val="1"/>
      <w:numFmt w:val="lowerLetter"/>
      <w:lvlText w:val="%5."/>
      <w:lvlJc w:val="left"/>
      <w:pPr>
        <w:ind w:left="3114" w:hanging="360"/>
      </w:pPr>
    </w:lvl>
    <w:lvl w:ilvl="5" w:tplc="0413001B">
      <w:start w:val="1"/>
      <w:numFmt w:val="lowerRoman"/>
      <w:lvlText w:val="%6."/>
      <w:lvlJc w:val="right"/>
      <w:pPr>
        <w:ind w:left="3834" w:hanging="180"/>
      </w:pPr>
    </w:lvl>
    <w:lvl w:ilvl="6" w:tplc="0413000F">
      <w:start w:val="1"/>
      <w:numFmt w:val="decimal"/>
      <w:lvlText w:val="%7."/>
      <w:lvlJc w:val="left"/>
      <w:pPr>
        <w:ind w:left="4554" w:hanging="360"/>
      </w:pPr>
    </w:lvl>
    <w:lvl w:ilvl="7" w:tplc="04130019">
      <w:start w:val="1"/>
      <w:numFmt w:val="lowerLetter"/>
      <w:lvlText w:val="%8."/>
      <w:lvlJc w:val="left"/>
      <w:pPr>
        <w:ind w:left="5274" w:hanging="360"/>
      </w:pPr>
    </w:lvl>
    <w:lvl w:ilvl="8" w:tplc="0413001B">
      <w:start w:val="1"/>
      <w:numFmt w:val="lowerRoman"/>
      <w:lvlText w:val="%9."/>
      <w:lvlJc w:val="right"/>
      <w:pPr>
        <w:ind w:left="5994" w:hanging="180"/>
      </w:pPr>
    </w:lvl>
  </w:abstractNum>
  <w:abstractNum w:abstractNumId="2" w15:restartNumberingAfterBreak="0">
    <w:nsid w:val="2CF44767"/>
    <w:multiLevelType w:val="hybridMultilevel"/>
    <w:tmpl w:val="5E043C10"/>
    <w:lvl w:ilvl="0" w:tplc="DA58FA1A">
      <w:start w:val="1"/>
      <w:numFmt w:val="decimal"/>
      <w:lvlText w:val="%1."/>
      <w:lvlJc w:val="left"/>
      <w:pPr>
        <w:ind w:left="735" w:hanging="37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2DF96AFE"/>
    <w:multiLevelType w:val="hybridMultilevel"/>
    <w:tmpl w:val="D3FE3934"/>
    <w:lvl w:ilvl="0" w:tplc="39664ACC">
      <w:start w:val="2"/>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60C3660E"/>
    <w:multiLevelType w:val="hybridMultilevel"/>
    <w:tmpl w:val="F84C26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30"/>
    <w:rsid w:val="00024A6E"/>
    <w:rsid w:val="00085F17"/>
    <w:rsid w:val="00107971"/>
    <w:rsid w:val="00170A75"/>
    <w:rsid w:val="002A461B"/>
    <w:rsid w:val="002D0528"/>
    <w:rsid w:val="002E3DBF"/>
    <w:rsid w:val="002E4036"/>
    <w:rsid w:val="00305C53"/>
    <w:rsid w:val="0032281A"/>
    <w:rsid w:val="00370568"/>
    <w:rsid w:val="00374ED4"/>
    <w:rsid w:val="00393CA1"/>
    <w:rsid w:val="003F0E7A"/>
    <w:rsid w:val="004136BC"/>
    <w:rsid w:val="004704F8"/>
    <w:rsid w:val="00476E60"/>
    <w:rsid w:val="00485BD2"/>
    <w:rsid w:val="004A6CE2"/>
    <w:rsid w:val="004D4CDC"/>
    <w:rsid w:val="004E7538"/>
    <w:rsid w:val="004F372B"/>
    <w:rsid w:val="00501028"/>
    <w:rsid w:val="00535D06"/>
    <w:rsid w:val="005506D1"/>
    <w:rsid w:val="00552FF4"/>
    <w:rsid w:val="0056467E"/>
    <w:rsid w:val="005B1250"/>
    <w:rsid w:val="005C7CC8"/>
    <w:rsid w:val="005E239A"/>
    <w:rsid w:val="00610EAE"/>
    <w:rsid w:val="00634063"/>
    <w:rsid w:val="006709CD"/>
    <w:rsid w:val="006D64EB"/>
    <w:rsid w:val="00724400"/>
    <w:rsid w:val="0078338B"/>
    <w:rsid w:val="007939BA"/>
    <w:rsid w:val="00793A32"/>
    <w:rsid w:val="00794B71"/>
    <w:rsid w:val="00796D52"/>
    <w:rsid w:val="007F6172"/>
    <w:rsid w:val="007F7361"/>
    <w:rsid w:val="00834B4B"/>
    <w:rsid w:val="00841795"/>
    <w:rsid w:val="00845D46"/>
    <w:rsid w:val="00846198"/>
    <w:rsid w:val="008513EE"/>
    <w:rsid w:val="00860FEC"/>
    <w:rsid w:val="00880616"/>
    <w:rsid w:val="00881FD5"/>
    <w:rsid w:val="00884991"/>
    <w:rsid w:val="008900C5"/>
    <w:rsid w:val="00892842"/>
    <w:rsid w:val="008C656B"/>
    <w:rsid w:val="008F000F"/>
    <w:rsid w:val="00977C77"/>
    <w:rsid w:val="009826E4"/>
    <w:rsid w:val="00A03FDB"/>
    <w:rsid w:val="00A1309D"/>
    <w:rsid w:val="00A13571"/>
    <w:rsid w:val="00A232D3"/>
    <w:rsid w:val="00A467FE"/>
    <w:rsid w:val="00B66970"/>
    <w:rsid w:val="00B813D5"/>
    <w:rsid w:val="00B849C8"/>
    <w:rsid w:val="00B93574"/>
    <w:rsid w:val="00C0406A"/>
    <w:rsid w:val="00C10062"/>
    <w:rsid w:val="00C21281"/>
    <w:rsid w:val="00C4774C"/>
    <w:rsid w:val="00CA0A29"/>
    <w:rsid w:val="00D0270B"/>
    <w:rsid w:val="00D160AD"/>
    <w:rsid w:val="00D2782F"/>
    <w:rsid w:val="00D3373B"/>
    <w:rsid w:val="00D379FA"/>
    <w:rsid w:val="00D5693E"/>
    <w:rsid w:val="00DF584E"/>
    <w:rsid w:val="00E06DE8"/>
    <w:rsid w:val="00E139E6"/>
    <w:rsid w:val="00E1479C"/>
    <w:rsid w:val="00E6089F"/>
    <w:rsid w:val="00E722E1"/>
    <w:rsid w:val="00E76632"/>
    <w:rsid w:val="00EE3B30"/>
    <w:rsid w:val="00F10146"/>
    <w:rsid w:val="00F26D76"/>
    <w:rsid w:val="00F4270B"/>
    <w:rsid w:val="00F63ACC"/>
    <w:rsid w:val="00F80043"/>
    <w:rsid w:val="00FC4866"/>
    <w:rsid w:val="00FD1722"/>
    <w:rsid w:val="00FE04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DBC5B2-CCF7-4225-8461-D98DE223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B66970"/>
    <w:pPr>
      <w:shd w:val="clear" w:color="auto" w:fill="000080"/>
    </w:pPr>
    <w:rPr>
      <w:rFonts w:ascii="Tahoma" w:hAnsi="Tahoma" w:cs="Tahoma"/>
    </w:rPr>
  </w:style>
  <w:style w:type="paragraph" w:styleId="Ballontekst">
    <w:name w:val="Balloon Text"/>
    <w:basedOn w:val="Standaard"/>
    <w:semiHidden/>
    <w:rsid w:val="00CA0A29"/>
    <w:rPr>
      <w:rFonts w:ascii="Tahoma" w:hAnsi="Tahoma" w:cs="Tahoma"/>
      <w:sz w:val="16"/>
      <w:szCs w:val="16"/>
    </w:rPr>
  </w:style>
  <w:style w:type="character" w:styleId="Verwijzingopmerking">
    <w:name w:val="annotation reference"/>
    <w:rsid w:val="009826E4"/>
    <w:rPr>
      <w:sz w:val="16"/>
      <w:szCs w:val="16"/>
    </w:rPr>
  </w:style>
  <w:style w:type="paragraph" w:styleId="Tekstopmerking">
    <w:name w:val="annotation text"/>
    <w:basedOn w:val="Standaard"/>
    <w:link w:val="TekstopmerkingChar"/>
    <w:rsid w:val="009826E4"/>
  </w:style>
  <w:style w:type="character" w:customStyle="1" w:styleId="TekstopmerkingChar">
    <w:name w:val="Tekst opmerking Char"/>
    <w:link w:val="Tekstopmerking"/>
    <w:rsid w:val="009826E4"/>
    <w:rPr>
      <w:rFonts w:ascii="Arial" w:hAnsi="Arial"/>
    </w:rPr>
  </w:style>
  <w:style w:type="paragraph" w:styleId="Onderwerpvanopmerking">
    <w:name w:val="annotation subject"/>
    <w:basedOn w:val="Tekstopmerking"/>
    <w:next w:val="Tekstopmerking"/>
    <w:link w:val="OnderwerpvanopmerkingChar"/>
    <w:rsid w:val="009826E4"/>
    <w:rPr>
      <w:b/>
      <w:bCs/>
    </w:rPr>
  </w:style>
  <w:style w:type="character" w:customStyle="1" w:styleId="OnderwerpvanopmerkingChar">
    <w:name w:val="Onderwerp van opmerking Char"/>
    <w:link w:val="Onderwerpvanopmerking"/>
    <w:rsid w:val="009826E4"/>
    <w:rPr>
      <w:rFonts w:ascii="Arial" w:hAnsi="Arial"/>
      <w:b/>
      <w:bCs/>
    </w:rPr>
  </w:style>
  <w:style w:type="character" w:styleId="Hyperlink">
    <w:name w:val="Hyperlink"/>
    <w:rsid w:val="00D5693E"/>
    <w:rPr>
      <w:color w:val="0563C1"/>
      <w:u w:val="single"/>
    </w:rPr>
  </w:style>
  <w:style w:type="paragraph" w:styleId="Lijstalinea">
    <w:name w:val="List Paragraph"/>
    <w:basedOn w:val="Standaard"/>
    <w:uiPriority w:val="34"/>
    <w:qFormat/>
    <w:rsid w:val="00E6089F"/>
    <w:pPr>
      <w:ind w:left="720"/>
    </w:pPr>
    <w:rPr>
      <w:rFonts w:ascii="Calibri" w:eastAsia="Calibri" w:hAnsi="Calibri"/>
      <w:sz w:val="22"/>
      <w:szCs w:val="22"/>
    </w:rPr>
  </w:style>
  <w:style w:type="paragraph" w:styleId="Tekstzonderopmaak">
    <w:name w:val="Plain Text"/>
    <w:basedOn w:val="Standaard"/>
    <w:link w:val="TekstzonderopmaakChar"/>
    <w:uiPriority w:val="99"/>
    <w:unhideWhenUsed/>
    <w:rsid w:val="00FE04B4"/>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FE04B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3476">
      <w:bodyDiv w:val="1"/>
      <w:marLeft w:val="0"/>
      <w:marRight w:val="0"/>
      <w:marTop w:val="0"/>
      <w:marBottom w:val="0"/>
      <w:divBdr>
        <w:top w:val="none" w:sz="0" w:space="0" w:color="auto"/>
        <w:left w:val="none" w:sz="0" w:space="0" w:color="auto"/>
        <w:bottom w:val="none" w:sz="0" w:space="0" w:color="auto"/>
        <w:right w:val="none" w:sz="0" w:space="0" w:color="auto"/>
      </w:divBdr>
    </w:div>
    <w:div w:id="390425718">
      <w:bodyDiv w:val="1"/>
      <w:marLeft w:val="0"/>
      <w:marRight w:val="0"/>
      <w:marTop w:val="0"/>
      <w:marBottom w:val="0"/>
      <w:divBdr>
        <w:top w:val="none" w:sz="0" w:space="0" w:color="auto"/>
        <w:left w:val="none" w:sz="0" w:space="0" w:color="auto"/>
        <w:bottom w:val="none" w:sz="0" w:space="0" w:color="auto"/>
        <w:right w:val="none" w:sz="0" w:space="0" w:color="auto"/>
      </w:divBdr>
    </w:div>
    <w:div w:id="510266015">
      <w:bodyDiv w:val="1"/>
      <w:marLeft w:val="0"/>
      <w:marRight w:val="0"/>
      <w:marTop w:val="0"/>
      <w:marBottom w:val="0"/>
      <w:divBdr>
        <w:top w:val="none" w:sz="0" w:space="0" w:color="auto"/>
        <w:left w:val="none" w:sz="0" w:space="0" w:color="auto"/>
        <w:bottom w:val="none" w:sz="0" w:space="0" w:color="auto"/>
        <w:right w:val="none" w:sz="0" w:space="0" w:color="auto"/>
      </w:divBdr>
    </w:div>
    <w:div w:id="713120048">
      <w:bodyDiv w:val="1"/>
      <w:marLeft w:val="0"/>
      <w:marRight w:val="0"/>
      <w:marTop w:val="0"/>
      <w:marBottom w:val="0"/>
      <w:divBdr>
        <w:top w:val="none" w:sz="0" w:space="0" w:color="auto"/>
        <w:left w:val="none" w:sz="0" w:space="0" w:color="auto"/>
        <w:bottom w:val="none" w:sz="0" w:space="0" w:color="auto"/>
        <w:right w:val="none" w:sz="0" w:space="0" w:color="auto"/>
      </w:divBdr>
    </w:div>
    <w:div w:id="14225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albl_raadsmemo</Template>
  <TotalTime>0</TotalTime>
  <Pages>2</Pages>
  <Words>651</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RAADSMEMO</vt:lpstr>
    </vt:vector>
  </TitlesOfParts>
  <Company>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Martin Oosters</dc:creator>
  <cp:keywords/>
  <cp:lastModifiedBy>Kraijo, A</cp:lastModifiedBy>
  <cp:revision>2</cp:revision>
  <cp:lastPrinted>2015-03-06T09:39:00Z</cp:lastPrinted>
  <dcterms:created xsi:type="dcterms:W3CDTF">2015-09-22T12:07:00Z</dcterms:created>
  <dcterms:modified xsi:type="dcterms:W3CDTF">2015-09-22T12:07:00Z</dcterms:modified>
</cp:coreProperties>
</file>