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9FA" w:rsidRPr="00D5693E" w:rsidRDefault="00D379FA" w:rsidP="00860FEC">
      <w:pPr>
        <w:pStyle w:val="Kop1"/>
        <w:rPr>
          <w:color w:val="000000" w:themeColor="text1"/>
          <w:lang w:val="nl-NL"/>
        </w:rPr>
      </w:pPr>
      <w:r w:rsidRPr="00D5693E">
        <w:rPr>
          <w:color w:val="000000" w:themeColor="text1"/>
          <w:lang w:val="nl-NL"/>
        </w:rPr>
        <w:t>R</w:t>
      </w:r>
      <w:r w:rsidR="002A461B" w:rsidRPr="00D5693E">
        <w:rPr>
          <w:color w:val="000000" w:themeColor="text1"/>
          <w:lang w:val="nl-NL"/>
        </w:rPr>
        <w:t>aadsmemo</w:t>
      </w:r>
    </w:p>
    <w:p w:rsidR="00D379FA" w:rsidRPr="00D5693E" w:rsidRDefault="00D379FA" w:rsidP="00D379FA">
      <w:pPr>
        <w:rPr>
          <w:color w:val="000000" w:themeColor="text1"/>
        </w:rPr>
      </w:pPr>
    </w:p>
    <w:p w:rsidR="00D379FA" w:rsidRPr="00D5693E" w:rsidRDefault="00D379FA" w:rsidP="00D379FA">
      <w:pPr>
        <w:rPr>
          <w:color w:val="000000" w:themeColor="text1"/>
        </w:rPr>
      </w:pPr>
    </w:p>
    <w:tbl>
      <w:tblPr>
        <w:tblW w:w="0" w:type="auto"/>
        <w:tblLayout w:type="fixed"/>
        <w:tblCellMar>
          <w:left w:w="0" w:type="dxa"/>
          <w:right w:w="0" w:type="dxa"/>
        </w:tblCellMar>
        <w:tblLook w:val="01E0" w:firstRow="1" w:lastRow="1" w:firstColumn="1" w:lastColumn="1" w:noHBand="0" w:noVBand="0"/>
      </w:tblPr>
      <w:tblGrid>
        <w:gridCol w:w="1134"/>
        <w:gridCol w:w="284"/>
        <w:gridCol w:w="7369"/>
      </w:tblGrid>
      <w:tr w:rsidR="00D5693E" w:rsidRPr="00D5693E" w:rsidTr="00D3373B">
        <w:tc>
          <w:tcPr>
            <w:tcW w:w="1134" w:type="dxa"/>
            <w:shd w:val="clear" w:color="auto" w:fill="auto"/>
          </w:tcPr>
          <w:p w:rsidR="004D4CDC" w:rsidRPr="00D5693E" w:rsidRDefault="004D4CDC" w:rsidP="00D379FA">
            <w:pPr>
              <w:rPr>
                <w:color w:val="000000" w:themeColor="text1"/>
              </w:rPr>
            </w:pPr>
            <w:r w:rsidRPr="00D5693E">
              <w:rPr>
                <w:color w:val="000000" w:themeColor="text1"/>
              </w:rPr>
              <w:t>Onderwerp</w:t>
            </w:r>
          </w:p>
        </w:tc>
        <w:tc>
          <w:tcPr>
            <w:tcW w:w="284" w:type="dxa"/>
            <w:shd w:val="clear" w:color="auto" w:fill="auto"/>
          </w:tcPr>
          <w:p w:rsidR="004D4CDC" w:rsidRPr="00D5693E" w:rsidRDefault="004D4CDC" w:rsidP="00D379FA">
            <w:pPr>
              <w:rPr>
                <w:color w:val="000000" w:themeColor="text1"/>
              </w:rPr>
            </w:pPr>
          </w:p>
        </w:tc>
        <w:tc>
          <w:tcPr>
            <w:tcW w:w="7369" w:type="dxa"/>
            <w:shd w:val="clear" w:color="auto" w:fill="auto"/>
          </w:tcPr>
          <w:p w:rsidR="00F63ACC" w:rsidRPr="00D5693E" w:rsidRDefault="00D5693E" w:rsidP="00D5693E">
            <w:pPr>
              <w:rPr>
                <w:color w:val="000000" w:themeColor="text1"/>
              </w:rPr>
            </w:pPr>
            <w:bookmarkStart w:id="0" w:name="iOnderwerp"/>
            <w:bookmarkEnd w:id="0"/>
            <w:r w:rsidRPr="00D5693E">
              <w:rPr>
                <w:color w:val="000000" w:themeColor="text1"/>
              </w:rPr>
              <w:t>Antwoord op vragen van de fractie van D66 m.b.t. raadsvoorstel beschikbaarstelling krediet Het Kompas</w:t>
            </w:r>
          </w:p>
        </w:tc>
      </w:tr>
      <w:tr w:rsidR="004D4CDC" w:rsidRPr="00D5693E" w:rsidTr="00D3373B">
        <w:tc>
          <w:tcPr>
            <w:tcW w:w="1134" w:type="dxa"/>
            <w:shd w:val="clear" w:color="auto" w:fill="auto"/>
          </w:tcPr>
          <w:p w:rsidR="004D4CDC" w:rsidRPr="00D5693E" w:rsidRDefault="004D4CDC" w:rsidP="00D379FA">
            <w:pPr>
              <w:rPr>
                <w:color w:val="000000" w:themeColor="text1"/>
              </w:rPr>
            </w:pPr>
          </w:p>
        </w:tc>
        <w:tc>
          <w:tcPr>
            <w:tcW w:w="284" w:type="dxa"/>
            <w:shd w:val="clear" w:color="auto" w:fill="auto"/>
          </w:tcPr>
          <w:p w:rsidR="004D4CDC" w:rsidRPr="00D5693E" w:rsidRDefault="004D4CDC" w:rsidP="00D379FA">
            <w:pPr>
              <w:rPr>
                <w:color w:val="000000" w:themeColor="text1"/>
              </w:rPr>
            </w:pPr>
          </w:p>
        </w:tc>
        <w:tc>
          <w:tcPr>
            <w:tcW w:w="7369" w:type="dxa"/>
            <w:shd w:val="clear" w:color="auto" w:fill="auto"/>
          </w:tcPr>
          <w:p w:rsidR="004D4CDC" w:rsidRPr="00D5693E" w:rsidRDefault="004D4CDC" w:rsidP="00D379FA">
            <w:pPr>
              <w:rPr>
                <w:color w:val="000000" w:themeColor="text1"/>
              </w:rPr>
            </w:pPr>
          </w:p>
        </w:tc>
      </w:tr>
      <w:tr w:rsidR="004D4CDC" w:rsidRPr="00D5693E" w:rsidTr="00D3373B">
        <w:tc>
          <w:tcPr>
            <w:tcW w:w="1134" w:type="dxa"/>
            <w:shd w:val="clear" w:color="auto" w:fill="auto"/>
          </w:tcPr>
          <w:p w:rsidR="004D4CDC" w:rsidRPr="00D5693E" w:rsidRDefault="004D4CDC" w:rsidP="00D379FA">
            <w:pPr>
              <w:rPr>
                <w:color w:val="000000" w:themeColor="text1"/>
              </w:rPr>
            </w:pPr>
            <w:r w:rsidRPr="00D5693E">
              <w:rPr>
                <w:color w:val="000000" w:themeColor="text1"/>
              </w:rPr>
              <w:t>Datum</w:t>
            </w:r>
          </w:p>
        </w:tc>
        <w:tc>
          <w:tcPr>
            <w:tcW w:w="284" w:type="dxa"/>
            <w:shd w:val="clear" w:color="auto" w:fill="auto"/>
          </w:tcPr>
          <w:p w:rsidR="004D4CDC" w:rsidRPr="00D5693E" w:rsidRDefault="004D4CDC" w:rsidP="00D379FA">
            <w:pPr>
              <w:rPr>
                <w:color w:val="000000" w:themeColor="text1"/>
              </w:rPr>
            </w:pPr>
          </w:p>
        </w:tc>
        <w:tc>
          <w:tcPr>
            <w:tcW w:w="7369" w:type="dxa"/>
            <w:shd w:val="clear" w:color="auto" w:fill="auto"/>
          </w:tcPr>
          <w:p w:rsidR="004D4CDC" w:rsidRPr="00D5693E" w:rsidRDefault="00D5693E" w:rsidP="004704F8">
            <w:pPr>
              <w:rPr>
                <w:color w:val="000000" w:themeColor="text1"/>
              </w:rPr>
            </w:pPr>
            <w:bookmarkStart w:id="1" w:name="iDatum"/>
            <w:bookmarkEnd w:id="1"/>
            <w:r w:rsidRPr="00D5693E">
              <w:rPr>
                <w:color w:val="000000" w:themeColor="text1"/>
              </w:rPr>
              <w:t>22</w:t>
            </w:r>
            <w:r w:rsidR="004704F8" w:rsidRPr="00D5693E">
              <w:rPr>
                <w:color w:val="000000" w:themeColor="text1"/>
              </w:rPr>
              <w:t xml:space="preserve"> september </w:t>
            </w:r>
            <w:r w:rsidR="00EE3B30" w:rsidRPr="00D5693E">
              <w:rPr>
                <w:color w:val="000000" w:themeColor="text1"/>
              </w:rPr>
              <w:t>201</w:t>
            </w:r>
            <w:r w:rsidR="00E139E6" w:rsidRPr="00D5693E">
              <w:rPr>
                <w:color w:val="000000" w:themeColor="text1"/>
              </w:rPr>
              <w:t>5</w:t>
            </w:r>
          </w:p>
        </w:tc>
      </w:tr>
      <w:tr w:rsidR="004D4CDC" w:rsidRPr="00D5693E" w:rsidTr="00D3373B">
        <w:tc>
          <w:tcPr>
            <w:tcW w:w="1134" w:type="dxa"/>
            <w:shd w:val="clear" w:color="auto" w:fill="auto"/>
          </w:tcPr>
          <w:p w:rsidR="004D4CDC" w:rsidRPr="00D5693E" w:rsidRDefault="004D4CDC" w:rsidP="00D379FA">
            <w:pPr>
              <w:rPr>
                <w:color w:val="000000" w:themeColor="text1"/>
              </w:rPr>
            </w:pPr>
          </w:p>
        </w:tc>
        <w:tc>
          <w:tcPr>
            <w:tcW w:w="284" w:type="dxa"/>
            <w:shd w:val="clear" w:color="auto" w:fill="auto"/>
          </w:tcPr>
          <w:p w:rsidR="004D4CDC" w:rsidRPr="00D5693E" w:rsidRDefault="004D4CDC" w:rsidP="00D379FA">
            <w:pPr>
              <w:rPr>
                <w:color w:val="000000" w:themeColor="text1"/>
              </w:rPr>
            </w:pPr>
          </w:p>
        </w:tc>
        <w:tc>
          <w:tcPr>
            <w:tcW w:w="7369" w:type="dxa"/>
            <w:shd w:val="clear" w:color="auto" w:fill="auto"/>
          </w:tcPr>
          <w:p w:rsidR="004D4CDC" w:rsidRPr="00D5693E" w:rsidRDefault="004D4CDC" w:rsidP="00D379FA">
            <w:pPr>
              <w:rPr>
                <w:color w:val="000000" w:themeColor="text1"/>
              </w:rPr>
            </w:pPr>
          </w:p>
        </w:tc>
      </w:tr>
      <w:tr w:rsidR="004D4CDC" w:rsidRPr="00D5693E" w:rsidTr="00D3373B">
        <w:tc>
          <w:tcPr>
            <w:tcW w:w="1134" w:type="dxa"/>
            <w:shd w:val="clear" w:color="auto" w:fill="auto"/>
          </w:tcPr>
          <w:p w:rsidR="004D4CDC" w:rsidRPr="00D5693E" w:rsidRDefault="004D4CDC" w:rsidP="00D379FA">
            <w:pPr>
              <w:rPr>
                <w:color w:val="000000" w:themeColor="text1"/>
              </w:rPr>
            </w:pPr>
            <w:r w:rsidRPr="00D5693E">
              <w:rPr>
                <w:color w:val="000000" w:themeColor="text1"/>
              </w:rPr>
              <w:t>Afzender</w:t>
            </w:r>
          </w:p>
        </w:tc>
        <w:tc>
          <w:tcPr>
            <w:tcW w:w="284" w:type="dxa"/>
            <w:shd w:val="clear" w:color="auto" w:fill="auto"/>
          </w:tcPr>
          <w:p w:rsidR="004D4CDC" w:rsidRPr="00D5693E" w:rsidRDefault="004D4CDC" w:rsidP="00D379FA">
            <w:pPr>
              <w:rPr>
                <w:color w:val="000000" w:themeColor="text1"/>
              </w:rPr>
            </w:pPr>
          </w:p>
        </w:tc>
        <w:tc>
          <w:tcPr>
            <w:tcW w:w="7369" w:type="dxa"/>
            <w:shd w:val="clear" w:color="auto" w:fill="auto"/>
          </w:tcPr>
          <w:p w:rsidR="004D4CDC" w:rsidRPr="00D5693E" w:rsidRDefault="00EE3B30" w:rsidP="00D379FA">
            <w:pPr>
              <w:rPr>
                <w:color w:val="000000" w:themeColor="text1"/>
              </w:rPr>
            </w:pPr>
            <w:bookmarkStart w:id="2" w:name="iAfzender"/>
            <w:bookmarkEnd w:id="2"/>
            <w:r w:rsidRPr="00D5693E">
              <w:rPr>
                <w:color w:val="000000" w:themeColor="text1"/>
              </w:rPr>
              <w:t>Arjan Kraijo</w:t>
            </w:r>
          </w:p>
        </w:tc>
      </w:tr>
      <w:tr w:rsidR="004D4CDC" w:rsidRPr="00D5693E" w:rsidTr="00D3373B">
        <w:tc>
          <w:tcPr>
            <w:tcW w:w="1134" w:type="dxa"/>
            <w:shd w:val="clear" w:color="auto" w:fill="auto"/>
          </w:tcPr>
          <w:p w:rsidR="004D4CDC" w:rsidRPr="00D5693E" w:rsidRDefault="004D4CDC" w:rsidP="00D379FA">
            <w:pPr>
              <w:rPr>
                <w:color w:val="000000" w:themeColor="text1"/>
              </w:rPr>
            </w:pPr>
          </w:p>
        </w:tc>
        <w:tc>
          <w:tcPr>
            <w:tcW w:w="284" w:type="dxa"/>
            <w:shd w:val="clear" w:color="auto" w:fill="auto"/>
          </w:tcPr>
          <w:p w:rsidR="004D4CDC" w:rsidRPr="00D5693E" w:rsidRDefault="004D4CDC" w:rsidP="00D379FA">
            <w:pPr>
              <w:rPr>
                <w:color w:val="000000" w:themeColor="text1"/>
              </w:rPr>
            </w:pPr>
          </w:p>
        </w:tc>
        <w:tc>
          <w:tcPr>
            <w:tcW w:w="7369" w:type="dxa"/>
            <w:shd w:val="clear" w:color="auto" w:fill="auto"/>
          </w:tcPr>
          <w:p w:rsidR="004D4CDC" w:rsidRPr="00D5693E" w:rsidRDefault="004D4CDC" w:rsidP="00D379FA">
            <w:pPr>
              <w:rPr>
                <w:color w:val="000000" w:themeColor="text1"/>
              </w:rPr>
            </w:pPr>
          </w:p>
        </w:tc>
      </w:tr>
      <w:tr w:rsidR="004D4CDC" w:rsidRPr="00D5693E" w:rsidTr="00D3373B">
        <w:tc>
          <w:tcPr>
            <w:tcW w:w="1134" w:type="dxa"/>
            <w:shd w:val="clear" w:color="auto" w:fill="auto"/>
          </w:tcPr>
          <w:p w:rsidR="004D4CDC" w:rsidRPr="00D5693E" w:rsidRDefault="004D4CDC" w:rsidP="005B1250">
            <w:pPr>
              <w:rPr>
                <w:color w:val="000000" w:themeColor="text1"/>
              </w:rPr>
            </w:pPr>
            <w:r w:rsidRPr="00D5693E">
              <w:rPr>
                <w:color w:val="000000" w:themeColor="text1"/>
              </w:rPr>
              <w:t>Tel.nr.</w:t>
            </w:r>
          </w:p>
        </w:tc>
        <w:tc>
          <w:tcPr>
            <w:tcW w:w="284" w:type="dxa"/>
            <w:shd w:val="clear" w:color="auto" w:fill="auto"/>
          </w:tcPr>
          <w:p w:rsidR="004D4CDC" w:rsidRPr="00D5693E" w:rsidRDefault="004D4CDC" w:rsidP="005B1250">
            <w:pPr>
              <w:rPr>
                <w:color w:val="000000" w:themeColor="text1"/>
              </w:rPr>
            </w:pPr>
          </w:p>
        </w:tc>
        <w:tc>
          <w:tcPr>
            <w:tcW w:w="7369" w:type="dxa"/>
            <w:shd w:val="clear" w:color="auto" w:fill="auto"/>
          </w:tcPr>
          <w:p w:rsidR="004D4CDC" w:rsidRPr="00D5693E" w:rsidRDefault="00EE3B30" w:rsidP="00D379FA">
            <w:pPr>
              <w:rPr>
                <w:color w:val="000000" w:themeColor="text1"/>
              </w:rPr>
            </w:pPr>
            <w:bookmarkStart w:id="3" w:name="iTelefoon"/>
            <w:bookmarkEnd w:id="3"/>
            <w:r w:rsidRPr="00D5693E">
              <w:rPr>
                <w:color w:val="000000" w:themeColor="text1"/>
              </w:rPr>
              <w:t>(078) 770 6004</w:t>
            </w:r>
          </w:p>
        </w:tc>
      </w:tr>
      <w:tr w:rsidR="004D4CDC" w:rsidRPr="00D5693E" w:rsidTr="00D3373B">
        <w:tc>
          <w:tcPr>
            <w:tcW w:w="1134" w:type="dxa"/>
            <w:shd w:val="clear" w:color="auto" w:fill="auto"/>
          </w:tcPr>
          <w:p w:rsidR="004D4CDC" w:rsidRPr="00D5693E" w:rsidRDefault="004D4CDC" w:rsidP="005B1250">
            <w:pPr>
              <w:rPr>
                <w:color w:val="000000" w:themeColor="text1"/>
              </w:rPr>
            </w:pPr>
          </w:p>
        </w:tc>
        <w:tc>
          <w:tcPr>
            <w:tcW w:w="284" w:type="dxa"/>
            <w:shd w:val="clear" w:color="auto" w:fill="auto"/>
          </w:tcPr>
          <w:p w:rsidR="004D4CDC" w:rsidRPr="00D5693E" w:rsidRDefault="004D4CDC" w:rsidP="005B1250">
            <w:pPr>
              <w:rPr>
                <w:color w:val="000000" w:themeColor="text1"/>
              </w:rPr>
            </w:pPr>
          </w:p>
        </w:tc>
        <w:tc>
          <w:tcPr>
            <w:tcW w:w="7369" w:type="dxa"/>
            <w:shd w:val="clear" w:color="auto" w:fill="auto"/>
          </w:tcPr>
          <w:p w:rsidR="004D4CDC" w:rsidRPr="00D5693E" w:rsidRDefault="004D4CDC" w:rsidP="00D379FA">
            <w:pPr>
              <w:rPr>
                <w:color w:val="000000" w:themeColor="text1"/>
              </w:rPr>
            </w:pPr>
          </w:p>
        </w:tc>
      </w:tr>
      <w:tr w:rsidR="004D4CDC" w:rsidRPr="00D5693E" w:rsidTr="00D3373B">
        <w:tc>
          <w:tcPr>
            <w:tcW w:w="1134" w:type="dxa"/>
            <w:shd w:val="clear" w:color="auto" w:fill="auto"/>
          </w:tcPr>
          <w:p w:rsidR="004D4CDC" w:rsidRPr="00D5693E" w:rsidRDefault="004D4CDC" w:rsidP="005B1250">
            <w:pPr>
              <w:rPr>
                <w:color w:val="000000" w:themeColor="text1"/>
              </w:rPr>
            </w:pPr>
            <w:r w:rsidRPr="00D5693E">
              <w:rPr>
                <w:color w:val="000000" w:themeColor="text1"/>
              </w:rPr>
              <w:t>Emailadres</w:t>
            </w:r>
          </w:p>
        </w:tc>
        <w:tc>
          <w:tcPr>
            <w:tcW w:w="284" w:type="dxa"/>
            <w:shd w:val="clear" w:color="auto" w:fill="auto"/>
          </w:tcPr>
          <w:p w:rsidR="004D4CDC" w:rsidRPr="00D5693E" w:rsidRDefault="004D4CDC" w:rsidP="005B1250">
            <w:pPr>
              <w:rPr>
                <w:color w:val="000000" w:themeColor="text1"/>
              </w:rPr>
            </w:pPr>
          </w:p>
        </w:tc>
        <w:bookmarkStart w:id="4" w:name="iEmail"/>
        <w:bookmarkEnd w:id="4"/>
        <w:tc>
          <w:tcPr>
            <w:tcW w:w="7369" w:type="dxa"/>
            <w:shd w:val="clear" w:color="auto" w:fill="auto"/>
          </w:tcPr>
          <w:p w:rsidR="004D4CDC" w:rsidRPr="00D5693E" w:rsidRDefault="00D5693E" w:rsidP="00D379FA">
            <w:pPr>
              <w:rPr>
                <w:color w:val="000000" w:themeColor="text1"/>
              </w:rPr>
            </w:pPr>
            <w:r w:rsidRPr="00D5693E">
              <w:rPr>
                <w:color w:val="000000" w:themeColor="text1"/>
              </w:rPr>
              <w:fldChar w:fldCharType="begin"/>
            </w:r>
            <w:r w:rsidRPr="00D5693E">
              <w:rPr>
                <w:color w:val="000000" w:themeColor="text1"/>
              </w:rPr>
              <w:instrText xml:space="preserve"> HYPERLINK "mailto:a.kraijo@alblasserdam.nl" </w:instrText>
            </w:r>
            <w:r w:rsidRPr="00D5693E">
              <w:rPr>
                <w:color w:val="000000" w:themeColor="text1"/>
              </w:rPr>
              <w:fldChar w:fldCharType="separate"/>
            </w:r>
            <w:r w:rsidRPr="00D5693E">
              <w:rPr>
                <w:rStyle w:val="Hyperlink"/>
                <w:color w:val="000000" w:themeColor="text1"/>
              </w:rPr>
              <w:t>a.kraijo@alblasserdam.nl</w:t>
            </w:r>
            <w:r w:rsidRPr="00D5693E">
              <w:rPr>
                <w:color w:val="000000" w:themeColor="text1"/>
              </w:rPr>
              <w:fldChar w:fldCharType="end"/>
            </w:r>
          </w:p>
        </w:tc>
      </w:tr>
    </w:tbl>
    <w:p w:rsidR="00D379FA" w:rsidRPr="00D5693E" w:rsidRDefault="00D379FA" w:rsidP="00D379FA">
      <w:pPr>
        <w:rPr>
          <w:color w:val="000000" w:themeColor="text1"/>
        </w:rPr>
      </w:pPr>
    </w:p>
    <w:p w:rsidR="00D379FA" w:rsidRPr="00D5693E" w:rsidRDefault="00D379FA" w:rsidP="00D379FA">
      <w:pPr>
        <w:rPr>
          <w:color w:val="000000" w:themeColor="text1"/>
        </w:rPr>
      </w:pPr>
    </w:p>
    <w:p w:rsidR="00D379FA" w:rsidRPr="00D5693E" w:rsidRDefault="00D379FA" w:rsidP="00D379FA">
      <w:pPr>
        <w:rPr>
          <w:color w:val="000000" w:themeColor="text1"/>
        </w:rPr>
      </w:pPr>
    </w:p>
    <w:p w:rsidR="00D379FA" w:rsidRPr="00D5693E" w:rsidRDefault="00D379FA" w:rsidP="00D379FA">
      <w:pPr>
        <w:rPr>
          <w:color w:val="000000" w:themeColor="text1"/>
        </w:rPr>
      </w:pPr>
      <w:r w:rsidRPr="00D5693E">
        <w:rPr>
          <w:color w:val="000000" w:themeColor="text1"/>
        </w:rPr>
        <w:t>Geachte raad,</w:t>
      </w:r>
    </w:p>
    <w:p w:rsidR="00D379FA" w:rsidRPr="00D5693E" w:rsidRDefault="00D379FA" w:rsidP="00D379FA">
      <w:pPr>
        <w:rPr>
          <w:color w:val="000000" w:themeColor="text1"/>
        </w:rPr>
      </w:pPr>
    </w:p>
    <w:p w:rsidR="00D379FA" w:rsidRPr="00D5693E" w:rsidRDefault="00D379FA" w:rsidP="00D379FA">
      <w:pPr>
        <w:rPr>
          <w:color w:val="000000" w:themeColor="text1"/>
        </w:rPr>
      </w:pPr>
    </w:p>
    <w:p w:rsidR="00D5693E" w:rsidRPr="00D5693E" w:rsidRDefault="00D379FA" w:rsidP="00D379FA">
      <w:pPr>
        <w:rPr>
          <w:rFonts w:cs="Arial"/>
          <w:color w:val="000000" w:themeColor="text1"/>
        </w:rPr>
      </w:pPr>
      <w:r w:rsidRPr="00D5693E">
        <w:rPr>
          <w:rFonts w:cs="Arial"/>
          <w:color w:val="000000" w:themeColor="text1"/>
        </w:rPr>
        <w:t xml:space="preserve">Bijgevoegd </w:t>
      </w:r>
      <w:r w:rsidR="00D5693E" w:rsidRPr="00D5693E">
        <w:rPr>
          <w:rFonts w:cs="Arial"/>
          <w:color w:val="000000" w:themeColor="text1"/>
        </w:rPr>
        <w:t>vindt u de antwoorden op de vragen zoals door de fractie van D66 zijn gesteld met betrekking tot het raadsvoorstel beschikbaarstelling krediet Het Kompas. Dit raadsvoorstel staat op de agenda van de raadsvergadering van 22 september 2015.</w:t>
      </w:r>
    </w:p>
    <w:p w:rsidR="00D5693E" w:rsidRPr="00D5693E" w:rsidRDefault="00D5693E" w:rsidP="00D379FA">
      <w:pPr>
        <w:rPr>
          <w:rFonts w:cs="Arial"/>
          <w:color w:val="000000" w:themeColor="text1"/>
        </w:rPr>
      </w:pPr>
    </w:p>
    <w:p w:rsidR="00D5693E" w:rsidRPr="00D5693E" w:rsidRDefault="00D5693E" w:rsidP="00D379FA">
      <w:pPr>
        <w:rPr>
          <w:rFonts w:cs="Arial"/>
          <w:color w:val="000000" w:themeColor="text1"/>
        </w:rPr>
      </w:pPr>
      <w:r w:rsidRPr="00D5693E">
        <w:rPr>
          <w:rFonts w:cs="Arial"/>
          <w:color w:val="000000" w:themeColor="text1"/>
        </w:rPr>
        <w:t>Zie bijlage voor de verwijzingen in de vragen.</w:t>
      </w:r>
    </w:p>
    <w:p w:rsidR="00D5693E" w:rsidRPr="00D5693E" w:rsidRDefault="00D5693E" w:rsidP="00D379FA">
      <w:pPr>
        <w:rPr>
          <w:rFonts w:cs="Arial"/>
          <w:color w:val="000000" w:themeColor="text1"/>
        </w:rPr>
      </w:pPr>
    </w:p>
    <w:p w:rsidR="00D5693E" w:rsidRPr="00D5693E" w:rsidRDefault="00D5693E" w:rsidP="00D5693E">
      <w:pPr>
        <w:ind w:left="117" w:right="-20"/>
        <w:rPr>
          <w:rFonts w:eastAsia="Arial" w:cs="Arial"/>
          <w:color w:val="000000" w:themeColor="text1"/>
        </w:rPr>
      </w:pPr>
      <w:r w:rsidRPr="00D5693E">
        <w:rPr>
          <w:rFonts w:cs="Arial"/>
          <w:color w:val="000000" w:themeColor="text1"/>
          <w:u w:val="single"/>
        </w:rPr>
        <w:t xml:space="preserve"> </w:t>
      </w:r>
    </w:p>
    <w:p w:rsidR="00D5693E" w:rsidRPr="00D5693E" w:rsidRDefault="00D5693E" w:rsidP="00D5693E">
      <w:pPr>
        <w:rPr>
          <w:rFonts w:eastAsia="Calibri" w:cs="Arial"/>
          <w:color w:val="000000" w:themeColor="text1"/>
        </w:rPr>
      </w:pPr>
      <w:r w:rsidRPr="00D5693E">
        <w:rPr>
          <w:rFonts w:eastAsia="Calibri" w:cs="Arial"/>
          <w:color w:val="000000" w:themeColor="text1"/>
        </w:rPr>
        <w:t xml:space="preserve">Vraag 1: </w:t>
      </w:r>
      <w:r w:rsidRPr="00D5693E">
        <w:rPr>
          <w:rFonts w:eastAsia="Calibri" w:cs="Arial"/>
          <w:color w:val="000000" w:themeColor="text1"/>
        </w:rPr>
        <w:t>(Ad a) Vind</w:t>
      </w:r>
      <w:r>
        <w:rPr>
          <w:rFonts w:eastAsia="Calibri" w:cs="Arial"/>
          <w:color w:val="000000" w:themeColor="text1"/>
        </w:rPr>
        <w:t>t</w:t>
      </w:r>
      <w:r w:rsidRPr="00D5693E">
        <w:rPr>
          <w:rFonts w:eastAsia="Calibri" w:cs="Arial"/>
          <w:color w:val="000000" w:themeColor="text1"/>
        </w:rPr>
        <w:t xml:space="preserve"> u het, gezien de huidige problemen die onze samenleving kent, verantwoord om een dergelijke kleine verbouwing voor zo veel geld aan te besteden?</w:t>
      </w:r>
    </w:p>
    <w:p w:rsidR="00D5693E" w:rsidRPr="00D5693E" w:rsidRDefault="00D5693E" w:rsidP="00D5693E">
      <w:pPr>
        <w:ind w:left="-126"/>
        <w:rPr>
          <w:rFonts w:eastAsia="Calibri" w:cs="Arial"/>
          <w:color w:val="000000" w:themeColor="text1"/>
        </w:rPr>
      </w:pPr>
    </w:p>
    <w:p w:rsidR="00D5693E" w:rsidRPr="00D5693E" w:rsidRDefault="00D5693E" w:rsidP="00D5693E">
      <w:pPr>
        <w:rPr>
          <w:rFonts w:eastAsia="Calibri" w:cs="Arial"/>
          <w:color w:val="000000" w:themeColor="text1"/>
        </w:rPr>
      </w:pPr>
      <w:r w:rsidRPr="00D5693E">
        <w:rPr>
          <w:rFonts w:eastAsia="Calibri" w:cs="Arial"/>
          <w:color w:val="000000" w:themeColor="text1"/>
        </w:rPr>
        <w:t>Antwoord: Ja. Weliswaar onderkennen wij de hoge kosten, wanneer de kosten uitsluitend gerelateerd worden aan de uitbreiding in m2. Echter, de uitbreiding geeft daarnaast, in combinatie met de door het schoolbestuur op eigen kosten gerealiseerde uitbreiding, een definitieve oplossing aan het probleem van onvoldoende nevenruimten in de hoofdvestiging van de school. Adequate onderwijshuisvesting voor leerlingen en personeel is een belangrijke onderlegger voor het realiseren van goed onderwijs.</w:t>
      </w:r>
    </w:p>
    <w:p w:rsidR="00D5693E" w:rsidRPr="00D5693E" w:rsidRDefault="00D5693E" w:rsidP="00D5693E">
      <w:pPr>
        <w:ind w:left="142"/>
        <w:rPr>
          <w:rFonts w:eastAsia="Calibri" w:cs="Arial"/>
          <w:color w:val="000000" w:themeColor="text1"/>
        </w:rPr>
      </w:pPr>
    </w:p>
    <w:p w:rsidR="00D5693E" w:rsidRPr="00D5693E" w:rsidRDefault="00D5693E" w:rsidP="00D5693E">
      <w:pPr>
        <w:rPr>
          <w:rFonts w:eastAsia="Calibri" w:cs="Arial"/>
          <w:color w:val="000000" w:themeColor="text1"/>
        </w:rPr>
      </w:pPr>
      <w:r w:rsidRPr="00D5693E">
        <w:rPr>
          <w:rFonts w:eastAsia="Calibri" w:cs="Arial"/>
          <w:color w:val="000000" w:themeColor="text1"/>
        </w:rPr>
        <w:t xml:space="preserve">Vraag 2: </w:t>
      </w:r>
      <w:r w:rsidRPr="00D5693E">
        <w:rPr>
          <w:rFonts w:eastAsia="Calibri" w:cs="Arial"/>
          <w:color w:val="000000" w:themeColor="text1"/>
        </w:rPr>
        <w:t>(Ad b) Vind</w:t>
      </w:r>
      <w:r>
        <w:rPr>
          <w:rFonts w:eastAsia="Calibri" w:cs="Arial"/>
          <w:color w:val="000000" w:themeColor="text1"/>
        </w:rPr>
        <w:t>t</w:t>
      </w:r>
      <w:r w:rsidRPr="00D5693E">
        <w:rPr>
          <w:rFonts w:eastAsia="Calibri" w:cs="Arial"/>
          <w:color w:val="000000" w:themeColor="text1"/>
        </w:rPr>
        <w:t xml:space="preserve"> u het verantwoord, gezien de problemen waar onze huidige samenleving voor staat, om zoveel geld uit te geven terwijl de minimale oppervlakte per leerling volstaat.</w:t>
      </w:r>
    </w:p>
    <w:p w:rsidR="00D5693E" w:rsidRPr="00D5693E" w:rsidRDefault="00D5693E" w:rsidP="00D5693E">
      <w:pPr>
        <w:rPr>
          <w:rFonts w:eastAsia="Calibri" w:cs="Arial"/>
          <w:color w:val="000000" w:themeColor="text1"/>
        </w:rPr>
      </w:pPr>
    </w:p>
    <w:p w:rsidR="00D5693E" w:rsidRPr="00D5693E" w:rsidRDefault="00D5693E" w:rsidP="00D5693E">
      <w:pPr>
        <w:rPr>
          <w:rFonts w:eastAsia="Calibri" w:cs="Arial"/>
          <w:color w:val="000000" w:themeColor="text1"/>
        </w:rPr>
      </w:pPr>
      <w:r w:rsidRPr="00D5693E">
        <w:rPr>
          <w:rFonts w:eastAsia="Calibri" w:cs="Arial"/>
          <w:color w:val="000000" w:themeColor="text1"/>
        </w:rPr>
        <w:t>Antwoord: In ons raadsvoorstel laten wij u zien dat de school rechtens aanspraak kan maken op een uitbreiding met 106 m2. De ruimtebehoefte wordt berekend op basis van de basisruimtebehoefte van 200 m2 + 5.03 m2 x het aantal leerlingen. In deze formule is de totale minimale bruto vloeroppervlakte van de school becijferd. Van een verdeling tussen ruimten voor leerlingen en nevenruimten is in de regelgeving op het gebied van onderwijshuisvesting geen sprake. Overigens hebben we in ons voorstel aangegeven dat de school geen behoefte heeft aan uitbreiding van de groepsruimten. We merken daarbij op dat circa een kwart van de uit de investering voortvloeiende kapitaallasten wordt gedekt door een verlaging van de post vandalisme. De netto gemeentelijke investering komt daarmee eveneens lager uit.</w:t>
      </w:r>
    </w:p>
    <w:p w:rsidR="00D5693E" w:rsidRPr="00D5693E" w:rsidRDefault="00D5693E" w:rsidP="00D5693E">
      <w:pPr>
        <w:ind w:left="142"/>
        <w:rPr>
          <w:rFonts w:eastAsia="Calibri" w:cs="Arial"/>
          <w:color w:val="000000" w:themeColor="text1"/>
        </w:rPr>
      </w:pPr>
    </w:p>
    <w:p w:rsidR="00D5693E" w:rsidRPr="00D5693E" w:rsidRDefault="00D5693E" w:rsidP="00D5693E">
      <w:pPr>
        <w:rPr>
          <w:rFonts w:eastAsia="Calibri" w:cs="Arial"/>
          <w:color w:val="000000" w:themeColor="text1"/>
        </w:rPr>
      </w:pPr>
      <w:r w:rsidRPr="00D5693E">
        <w:rPr>
          <w:rFonts w:eastAsia="Calibri" w:cs="Arial"/>
          <w:color w:val="000000" w:themeColor="text1"/>
        </w:rPr>
        <w:t xml:space="preserve">Vraag 3: </w:t>
      </w:r>
      <w:r w:rsidRPr="00D5693E">
        <w:rPr>
          <w:rFonts w:eastAsia="Calibri" w:cs="Arial"/>
          <w:color w:val="000000" w:themeColor="text1"/>
        </w:rPr>
        <w:t>(Ad d) Is er gekeken of de dislocatie (slecht woord voor een onderkomen op een kleine 10 meter afstand) uitgebreid kan worden?</w:t>
      </w:r>
    </w:p>
    <w:p w:rsidR="00D5693E" w:rsidRPr="00D5693E" w:rsidRDefault="00D5693E" w:rsidP="00D5693E">
      <w:pPr>
        <w:ind w:left="567"/>
        <w:rPr>
          <w:rFonts w:eastAsia="Calibri" w:cs="Arial"/>
          <w:color w:val="000000" w:themeColor="text1"/>
        </w:rPr>
      </w:pPr>
    </w:p>
    <w:p w:rsidR="00D5693E" w:rsidRPr="00D5693E" w:rsidRDefault="00D5693E" w:rsidP="00D5693E">
      <w:pPr>
        <w:rPr>
          <w:rFonts w:eastAsia="Calibri" w:cs="Arial"/>
          <w:color w:val="000000" w:themeColor="text1"/>
        </w:rPr>
      </w:pPr>
      <w:r w:rsidRPr="00D5693E">
        <w:rPr>
          <w:rFonts w:eastAsia="Calibri" w:cs="Arial"/>
          <w:color w:val="000000" w:themeColor="text1"/>
        </w:rPr>
        <w:t xml:space="preserve">Antwoord: de dislocatie betreft twee schoolwoningen (tijdelijke huisvesting) in de directe nabijheid (op 30 m) van de school. Deze woningen zijn eigendom van Woonkracht10. De woningen hebben de maximale omvang binnen de perceelgrenzen. Uitbreiding is niet mogelijk. Overigens zou een dergelijke uitbreiding ook geen adequaat en permanent antwoord geven op het ruimtelijk probleem van het schoolbestuur. </w:t>
      </w:r>
    </w:p>
    <w:p w:rsidR="00D5693E" w:rsidRPr="00D5693E" w:rsidRDefault="00D5693E" w:rsidP="00D5693E">
      <w:pPr>
        <w:ind w:left="142"/>
        <w:rPr>
          <w:rFonts w:eastAsia="Calibri" w:cs="Arial"/>
          <w:color w:val="000000" w:themeColor="text1"/>
        </w:rPr>
      </w:pPr>
    </w:p>
    <w:p w:rsidR="00D5693E" w:rsidRPr="00D5693E" w:rsidRDefault="00D5693E" w:rsidP="00D5693E">
      <w:pPr>
        <w:rPr>
          <w:rFonts w:eastAsia="Calibri" w:cs="Arial"/>
          <w:color w:val="000000" w:themeColor="text1"/>
        </w:rPr>
      </w:pPr>
      <w:r w:rsidRPr="00D5693E">
        <w:rPr>
          <w:rFonts w:eastAsia="Calibri" w:cs="Arial"/>
          <w:color w:val="000000" w:themeColor="text1"/>
        </w:rPr>
        <w:t xml:space="preserve">Vraag 4: </w:t>
      </w:r>
      <w:r w:rsidRPr="00D5693E">
        <w:rPr>
          <w:rFonts w:eastAsia="Calibri" w:cs="Arial"/>
          <w:color w:val="000000" w:themeColor="text1"/>
        </w:rPr>
        <w:t>(Ad e) Heeft het college of de school gekeken naar een verantwoord bijgebouwtje aan de voorzijde van de school?</w:t>
      </w:r>
    </w:p>
    <w:p w:rsidR="00D5693E" w:rsidRPr="00D5693E" w:rsidRDefault="00D5693E" w:rsidP="00D5693E">
      <w:pPr>
        <w:rPr>
          <w:rFonts w:eastAsia="Calibri" w:cs="Arial"/>
          <w:color w:val="000000" w:themeColor="text1"/>
        </w:rPr>
      </w:pPr>
    </w:p>
    <w:p w:rsidR="00D5693E" w:rsidRPr="00D5693E" w:rsidRDefault="00D5693E" w:rsidP="00D5693E">
      <w:pPr>
        <w:rPr>
          <w:rFonts w:eastAsia="Calibri" w:cs="Arial"/>
          <w:color w:val="000000" w:themeColor="text1"/>
        </w:rPr>
      </w:pPr>
      <w:r w:rsidRPr="00D5693E">
        <w:rPr>
          <w:rFonts w:eastAsia="Calibri" w:cs="Arial"/>
          <w:color w:val="000000" w:themeColor="text1"/>
        </w:rPr>
        <w:t>Antwoord:</w:t>
      </w:r>
      <w:r w:rsidR="00F26D76">
        <w:rPr>
          <w:rFonts w:eastAsia="Calibri" w:cs="Arial"/>
          <w:color w:val="000000" w:themeColor="text1"/>
        </w:rPr>
        <w:t xml:space="preserve"> Ja;</w:t>
      </w:r>
      <w:r w:rsidRPr="00D5693E">
        <w:rPr>
          <w:rFonts w:eastAsia="Calibri" w:cs="Arial"/>
          <w:color w:val="000000" w:themeColor="text1"/>
        </w:rPr>
        <w:t xml:space="preserve"> Om een drietal redenen hebben we hier niet voor gekozen. Ten eerste doet dit naar onze mening afbreuk aan het historische karakter van het pand i.c. het vooraanzicht. Ten tweede wordt het schoolplein aangetast. En ten derde zullen de kosten dan niet aanzienlijk lager uitkomen, zeker niet als we de ruimte willen laten aansluiten op de hoofdvestiging, hetgeen uit een oogpunt van veiligheid voor de leerlingen de voorkeur heeft.</w:t>
      </w:r>
    </w:p>
    <w:p w:rsidR="00D5693E" w:rsidRPr="00D5693E" w:rsidRDefault="00D5693E" w:rsidP="00D5693E">
      <w:pPr>
        <w:ind w:left="142"/>
        <w:rPr>
          <w:rFonts w:eastAsia="Calibri" w:cs="Arial"/>
          <w:color w:val="000000" w:themeColor="text1"/>
        </w:rPr>
      </w:pPr>
    </w:p>
    <w:p w:rsidR="00D5693E" w:rsidRPr="00D5693E" w:rsidRDefault="00D5693E" w:rsidP="00D5693E">
      <w:pPr>
        <w:rPr>
          <w:rFonts w:eastAsia="Calibri" w:cs="Arial"/>
          <w:color w:val="000000" w:themeColor="text1"/>
        </w:rPr>
      </w:pPr>
      <w:r w:rsidRPr="00D5693E">
        <w:rPr>
          <w:rFonts w:eastAsia="Calibri" w:cs="Arial"/>
          <w:color w:val="000000" w:themeColor="text1"/>
        </w:rPr>
        <w:t xml:space="preserve">Vraag 5: </w:t>
      </w:r>
      <w:r w:rsidRPr="00D5693E">
        <w:rPr>
          <w:rFonts w:eastAsia="Calibri" w:cs="Arial"/>
          <w:color w:val="000000" w:themeColor="text1"/>
        </w:rPr>
        <w:t>(Ad f) Is er overleg geweest met IBT Papendrecht (constructeur verantwoordelijk voor de verbouwing uit 2002) betreffende de constructieve opzet van de school?</w:t>
      </w:r>
    </w:p>
    <w:p w:rsidR="00D5693E" w:rsidRPr="00D5693E" w:rsidRDefault="00D5693E" w:rsidP="00D5693E">
      <w:pPr>
        <w:rPr>
          <w:rFonts w:eastAsia="Calibri" w:cs="Arial"/>
          <w:color w:val="000000" w:themeColor="text1"/>
        </w:rPr>
      </w:pPr>
    </w:p>
    <w:p w:rsidR="00D5693E" w:rsidRPr="00D5693E" w:rsidRDefault="00D5693E" w:rsidP="00D5693E">
      <w:pPr>
        <w:rPr>
          <w:rFonts w:eastAsia="Calibri" w:cs="Arial"/>
          <w:color w:val="000000" w:themeColor="text1"/>
        </w:rPr>
      </w:pPr>
      <w:r w:rsidRPr="00D5693E">
        <w:rPr>
          <w:rFonts w:eastAsia="Calibri" w:cs="Arial"/>
          <w:color w:val="000000" w:themeColor="text1"/>
        </w:rPr>
        <w:t>Antwoord: Dit overleg heeft inderdaad plaatsgevonden. Samen met IBT is gekeken naar de constructief meest gunstige opzet, mede omdat zij de constructeur zijn van de betreffende verbouwing.</w:t>
      </w:r>
    </w:p>
    <w:p w:rsidR="00D5693E" w:rsidRPr="00D5693E" w:rsidRDefault="00D5693E" w:rsidP="00D5693E">
      <w:pPr>
        <w:ind w:left="567"/>
        <w:rPr>
          <w:rFonts w:eastAsia="Calibri" w:cs="Arial"/>
          <w:color w:val="000000" w:themeColor="text1"/>
        </w:rPr>
      </w:pPr>
    </w:p>
    <w:p w:rsidR="00D5693E" w:rsidRPr="00D5693E" w:rsidRDefault="00D5693E" w:rsidP="00D5693E">
      <w:pPr>
        <w:rPr>
          <w:rFonts w:eastAsia="Calibri" w:cs="Arial"/>
          <w:color w:val="000000" w:themeColor="text1"/>
        </w:rPr>
      </w:pPr>
      <w:r w:rsidRPr="00D5693E">
        <w:rPr>
          <w:rFonts w:eastAsia="Calibri" w:cs="Arial"/>
          <w:color w:val="000000" w:themeColor="text1"/>
        </w:rPr>
        <w:t xml:space="preserve">Vraag 6: </w:t>
      </w:r>
      <w:r w:rsidRPr="00D5693E">
        <w:rPr>
          <w:rFonts w:eastAsia="Calibri" w:cs="Arial"/>
          <w:color w:val="000000" w:themeColor="text1"/>
        </w:rPr>
        <w:t>(Ad f) Is er gekeken of er mogelijk andere constructieve opzetten denkbaar zijn?</w:t>
      </w:r>
    </w:p>
    <w:p w:rsidR="00D5693E" w:rsidRPr="00D5693E" w:rsidRDefault="00D5693E" w:rsidP="00D5693E">
      <w:pPr>
        <w:rPr>
          <w:rFonts w:eastAsia="Calibri" w:cs="Arial"/>
          <w:color w:val="000000" w:themeColor="text1"/>
        </w:rPr>
      </w:pPr>
    </w:p>
    <w:p w:rsidR="00D5693E" w:rsidRPr="00D5693E" w:rsidRDefault="00D5693E" w:rsidP="00D5693E">
      <w:pPr>
        <w:rPr>
          <w:rFonts w:eastAsia="Calibri" w:cs="Arial"/>
          <w:color w:val="000000" w:themeColor="text1"/>
        </w:rPr>
      </w:pPr>
      <w:r w:rsidRPr="00D5693E">
        <w:rPr>
          <w:rFonts w:eastAsia="Calibri" w:cs="Arial"/>
          <w:color w:val="000000" w:themeColor="text1"/>
        </w:rPr>
        <w:t>Antwoord: Zie vraag 5. Met de constructeur zijn alle constructieve mogelijke scenario's besproken. De achtergevel is in bouwkundige termen inderdaad geen dragende wand te noemen. Wel dient er een nieuwe fundering te worden gerealiseerd om de nieuw aan te brengen vloer van de uitbreiding te plaatsen, waarbij tevens de nodige heipalen dienen te worden aangebracht. Hiermee is in het bestek en bij de kostenopgaaf van de aannemer ook vanuit gegaan.</w:t>
      </w:r>
    </w:p>
    <w:p w:rsidR="00D5693E" w:rsidRPr="00D5693E" w:rsidRDefault="00D5693E" w:rsidP="00D5693E">
      <w:pPr>
        <w:ind w:left="567"/>
        <w:rPr>
          <w:rFonts w:eastAsia="Calibri" w:cs="Arial"/>
          <w:color w:val="000000" w:themeColor="text1"/>
        </w:rPr>
      </w:pPr>
    </w:p>
    <w:p w:rsidR="00D5693E" w:rsidRPr="00D5693E" w:rsidRDefault="00D5693E" w:rsidP="00D5693E">
      <w:pPr>
        <w:ind w:left="567"/>
        <w:rPr>
          <w:rFonts w:eastAsia="Calibri" w:cs="Arial"/>
          <w:color w:val="000000" w:themeColor="text1"/>
        </w:rPr>
      </w:pPr>
    </w:p>
    <w:p w:rsidR="00D5693E" w:rsidRPr="00D5693E" w:rsidRDefault="00D5693E" w:rsidP="00D5693E">
      <w:pPr>
        <w:rPr>
          <w:rFonts w:eastAsia="Calibri" w:cs="Arial"/>
          <w:color w:val="000000" w:themeColor="text1"/>
        </w:rPr>
      </w:pPr>
      <w:r w:rsidRPr="00D5693E">
        <w:rPr>
          <w:rFonts w:eastAsia="Calibri" w:cs="Arial"/>
          <w:color w:val="000000" w:themeColor="text1"/>
        </w:rPr>
        <w:t xml:space="preserve">Vraag 7: </w:t>
      </w:r>
      <w:r w:rsidRPr="00D5693E">
        <w:rPr>
          <w:rFonts w:eastAsia="Calibri" w:cs="Arial"/>
          <w:color w:val="000000" w:themeColor="text1"/>
        </w:rPr>
        <w:t>(Ad g) Is er gekeken of het terugplaatsen van beplanting in het plint van het gebouw en het ontsteken van (goedkope LED) verlichting de hangjeugd zou kunnen ontmoedigen daar rond te hangen?</w:t>
      </w:r>
    </w:p>
    <w:p w:rsidR="00D5693E" w:rsidRPr="00D5693E" w:rsidRDefault="00D5693E" w:rsidP="00D5693E">
      <w:pPr>
        <w:rPr>
          <w:rFonts w:eastAsia="Calibri" w:cs="Arial"/>
          <w:color w:val="000000" w:themeColor="text1"/>
        </w:rPr>
      </w:pPr>
    </w:p>
    <w:p w:rsidR="00D5693E" w:rsidRPr="00D5693E" w:rsidRDefault="00D5693E" w:rsidP="00D5693E">
      <w:pPr>
        <w:rPr>
          <w:rFonts w:eastAsia="Calibri" w:cs="Arial"/>
          <w:color w:val="000000" w:themeColor="text1"/>
        </w:rPr>
      </w:pPr>
      <w:r w:rsidRPr="00D5693E">
        <w:rPr>
          <w:rFonts w:eastAsia="Calibri" w:cs="Arial"/>
          <w:color w:val="000000" w:themeColor="text1"/>
        </w:rPr>
        <w:t>Antwoord: De beplanting onder het afdak blijft in verband met watergebrek niet in het leven. Bovendien laat de jeugd zich niet weerhouden door beplanting. Er zou dan gebruik moeten worden gemaakt van zeer agressieve doornstruiken (althans als deze de kans krijgen om op te groeien), maar da</w:t>
      </w:r>
      <w:r w:rsidR="00F26D76">
        <w:rPr>
          <w:rFonts w:eastAsia="Calibri" w:cs="Arial"/>
          <w:color w:val="000000" w:themeColor="text1"/>
        </w:rPr>
        <w:t>t kan weer gevaar opleveren voor</w:t>
      </w:r>
      <w:r w:rsidRPr="00D5693E">
        <w:rPr>
          <w:rFonts w:eastAsia="Calibri" w:cs="Arial"/>
          <w:color w:val="000000" w:themeColor="text1"/>
        </w:rPr>
        <w:t xml:space="preserve"> de vele jonge kinderen die rond de school lopen. Verlichting is een prima plan</w:t>
      </w:r>
      <w:r w:rsidR="00F26D76">
        <w:rPr>
          <w:rFonts w:eastAsia="Calibri" w:cs="Arial"/>
          <w:color w:val="000000" w:themeColor="text1"/>
        </w:rPr>
        <w:t xml:space="preserve"> en is ook aanwezig</w:t>
      </w:r>
      <w:r w:rsidRPr="00D5693E">
        <w:rPr>
          <w:rFonts w:eastAsia="Calibri" w:cs="Arial"/>
          <w:color w:val="000000" w:themeColor="text1"/>
        </w:rPr>
        <w:t>,</w:t>
      </w:r>
      <w:bookmarkStart w:id="5" w:name="_GoBack"/>
      <w:bookmarkEnd w:id="5"/>
      <w:r w:rsidRPr="00D5693E">
        <w:rPr>
          <w:rFonts w:eastAsia="Calibri" w:cs="Arial"/>
          <w:color w:val="000000" w:themeColor="text1"/>
        </w:rPr>
        <w:t xml:space="preserve"> ware het niet dat de praktijk heeft geleerd dat deze vrij eenvoudig door de jeugd wordt 'uitgeschakeld'. Dit geldt tevens voor de twee aanwezige lantaarnpalen die door de jeugd regelmatig worden 'uitgezet'.</w:t>
      </w:r>
    </w:p>
    <w:p w:rsidR="00D5693E" w:rsidRPr="00D5693E" w:rsidRDefault="00D5693E" w:rsidP="00D5693E">
      <w:pPr>
        <w:ind w:left="567"/>
        <w:rPr>
          <w:rFonts w:eastAsia="Calibri" w:cs="Arial"/>
          <w:color w:val="000000" w:themeColor="text1"/>
        </w:rPr>
      </w:pPr>
    </w:p>
    <w:p w:rsidR="00D5693E" w:rsidRPr="00D5693E" w:rsidRDefault="00D5693E" w:rsidP="00D5693E">
      <w:pPr>
        <w:rPr>
          <w:rFonts w:eastAsia="Calibri" w:cs="Arial"/>
          <w:color w:val="000000" w:themeColor="text1"/>
        </w:rPr>
      </w:pPr>
      <w:r w:rsidRPr="00D5693E">
        <w:rPr>
          <w:rFonts w:eastAsia="Calibri" w:cs="Arial"/>
          <w:color w:val="000000" w:themeColor="text1"/>
        </w:rPr>
        <w:t xml:space="preserve">Vraag 8: </w:t>
      </w:r>
      <w:r w:rsidRPr="00D5693E">
        <w:rPr>
          <w:rFonts w:eastAsia="Calibri" w:cs="Arial"/>
          <w:color w:val="000000" w:themeColor="text1"/>
        </w:rPr>
        <w:t>Indien u onverhoopt één of een aantal van bovenstaande vragen met “nee” moet beantwoorden. Lijkt het u dan niet verstandiger besluitvorming één ronde uit te stellen om nader onderzoek te kunnen doen?</w:t>
      </w:r>
    </w:p>
    <w:p w:rsidR="00D5693E" w:rsidRPr="00D5693E" w:rsidRDefault="00D5693E" w:rsidP="00D5693E">
      <w:pPr>
        <w:rPr>
          <w:rFonts w:eastAsia="Calibri" w:cs="Arial"/>
          <w:color w:val="000000" w:themeColor="text1"/>
        </w:rPr>
      </w:pPr>
    </w:p>
    <w:p w:rsidR="00D5693E" w:rsidRPr="00D5693E" w:rsidRDefault="00D5693E" w:rsidP="00D5693E">
      <w:pPr>
        <w:rPr>
          <w:rFonts w:eastAsia="Arial" w:cs="Arial"/>
          <w:color w:val="000000" w:themeColor="text1"/>
        </w:rPr>
      </w:pPr>
      <w:r w:rsidRPr="00D5693E">
        <w:rPr>
          <w:rFonts w:eastAsia="Arial" w:cs="Arial"/>
          <w:color w:val="000000" w:themeColor="text1"/>
        </w:rPr>
        <w:t>Antwoord: Gelet op vorenstaande antwoorden en op basis van intensief overleg met het schoolbestuur zien wij geen noodzaak om de besluitvorming uit te stellen.</w:t>
      </w:r>
    </w:p>
    <w:p w:rsidR="00C10062" w:rsidRPr="00D5693E" w:rsidRDefault="00C10062" w:rsidP="00C10062">
      <w:pPr>
        <w:rPr>
          <w:rFonts w:cs="Arial"/>
          <w:color w:val="000000" w:themeColor="text1"/>
        </w:rPr>
      </w:pPr>
    </w:p>
    <w:sectPr w:rsidR="00C10062" w:rsidRPr="00D5693E">
      <w:pgSz w:w="11906" w:h="16838"/>
      <w:pgMar w:top="1531" w:right="1701"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5C4"/>
    <w:multiLevelType w:val="hybridMultilevel"/>
    <w:tmpl w:val="AC5024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42BA9"/>
    <w:multiLevelType w:val="hybridMultilevel"/>
    <w:tmpl w:val="531CC3C2"/>
    <w:lvl w:ilvl="0" w:tplc="0413000F">
      <w:start w:val="1"/>
      <w:numFmt w:val="decimal"/>
      <w:lvlText w:val="%1."/>
      <w:lvlJc w:val="left"/>
      <w:pPr>
        <w:ind w:left="234" w:hanging="360"/>
      </w:pPr>
    </w:lvl>
    <w:lvl w:ilvl="1" w:tplc="04130019">
      <w:start w:val="1"/>
      <w:numFmt w:val="lowerLetter"/>
      <w:lvlText w:val="%2."/>
      <w:lvlJc w:val="left"/>
      <w:pPr>
        <w:ind w:left="954" w:hanging="360"/>
      </w:pPr>
    </w:lvl>
    <w:lvl w:ilvl="2" w:tplc="0413001B">
      <w:start w:val="1"/>
      <w:numFmt w:val="lowerRoman"/>
      <w:lvlText w:val="%3."/>
      <w:lvlJc w:val="right"/>
      <w:pPr>
        <w:ind w:left="1674" w:hanging="180"/>
      </w:pPr>
    </w:lvl>
    <w:lvl w:ilvl="3" w:tplc="0413000F">
      <w:start w:val="1"/>
      <w:numFmt w:val="decimal"/>
      <w:lvlText w:val="%4."/>
      <w:lvlJc w:val="left"/>
      <w:pPr>
        <w:ind w:left="2394" w:hanging="360"/>
      </w:pPr>
    </w:lvl>
    <w:lvl w:ilvl="4" w:tplc="04130019">
      <w:start w:val="1"/>
      <w:numFmt w:val="lowerLetter"/>
      <w:lvlText w:val="%5."/>
      <w:lvlJc w:val="left"/>
      <w:pPr>
        <w:ind w:left="3114" w:hanging="360"/>
      </w:pPr>
    </w:lvl>
    <w:lvl w:ilvl="5" w:tplc="0413001B">
      <w:start w:val="1"/>
      <w:numFmt w:val="lowerRoman"/>
      <w:lvlText w:val="%6."/>
      <w:lvlJc w:val="right"/>
      <w:pPr>
        <w:ind w:left="3834" w:hanging="180"/>
      </w:pPr>
    </w:lvl>
    <w:lvl w:ilvl="6" w:tplc="0413000F">
      <w:start w:val="1"/>
      <w:numFmt w:val="decimal"/>
      <w:lvlText w:val="%7."/>
      <w:lvlJc w:val="left"/>
      <w:pPr>
        <w:ind w:left="4554" w:hanging="360"/>
      </w:pPr>
    </w:lvl>
    <w:lvl w:ilvl="7" w:tplc="04130019">
      <w:start w:val="1"/>
      <w:numFmt w:val="lowerLetter"/>
      <w:lvlText w:val="%8."/>
      <w:lvlJc w:val="left"/>
      <w:pPr>
        <w:ind w:left="5274" w:hanging="360"/>
      </w:pPr>
    </w:lvl>
    <w:lvl w:ilvl="8" w:tplc="0413001B">
      <w:start w:val="1"/>
      <w:numFmt w:val="lowerRoman"/>
      <w:lvlText w:val="%9."/>
      <w:lvlJc w:val="right"/>
      <w:pPr>
        <w:ind w:left="5994" w:hanging="180"/>
      </w:pPr>
    </w:lvl>
  </w:abstractNum>
  <w:abstractNum w:abstractNumId="2" w15:restartNumberingAfterBreak="0">
    <w:nsid w:val="60C3660E"/>
    <w:multiLevelType w:val="hybridMultilevel"/>
    <w:tmpl w:val="F84C266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B30"/>
    <w:rsid w:val="00085F17"/>
    <w:rsid w:val="00107971"/>
    <w:rsid w:val="00170A75"/>
    <w:rsid w:val="002A461B"/>
    <w:rsid w:val="002D0528"/>
    <w:rsid w:val="002E3DBF"/>
    <w:rsid w:val="002E4036"/>
    <w:rsid w:val="00305C53"/>
    <w:rsid w:val="00370568"/>
    <w:rsid w:val="00374ED4"/>
    <w:rsid w:val="00393CA1"/>
    <w:rsid w:val="003F0E7A"/>
    <w:rsid w:val="004136BC"/>
    <w:rsid w:val="004704F8"/>
    <w:rsid w:val="00476E60"/>
    <w:rsid w:val="00485BD2"/>
    <w:rsid w:val="004A6CE2"/>
    <w:rsid w:val="004D4CDC"/>
    <w:rsid w:val="004E7538"/>
    <w:rsid w:val="004F372B"/>
    <w:rsid w:val="00501028"/>
    <w:rsid w:val="00535D06"/>
    <w:rsid w:val="005506D1"/>
    <w:rsid w:val="00552FF4"/>
    <w:rsid w:val="0056467E"/>
    <w:rsid w:val="005B1250"/>
    <w:rsid w:val="005C7CC8"/>
    <w:rsid w:val="005E239A"/>
    <w:rsid w:val="00610EAE"/>
    <w:rsid w:val="00634063"/>
    <w:rsid w:val="006709CD"/>
    <w:rsid w:val="006D64EB"/>
    <w:rsid w:val="0078338B"/>
    <w:rsid w:val="007939BA"/>
    <w:rsid w:val="00793A32"/>
    <w:rsid w:val="00794B71"/>
    <w:rsid w:val="00796D52"/>
    <w:rsid w:val="00834B4B"/>
    <w:rsid w:val="00841795"/>
    <w:rsid w:val="00845D46"/>
    <w:rsid w:val="00846198"/>
    <w:rsid w:val="008513EE"/>
    <w:rsid w:val="00860FEC"/>
    <w:rsid w:val="00880616"/>
    <w:rsid w:val="00884991"/>
    <w:rsid w:val="008900C5"/>
    <w:rsid w:val="008C656B"/>
    <w:rsid w:val="008F000F"/>
    <w:rsid w:val="00977C77"/>
    <w:rsid w:val="009826E4"/>
    <w:rsid w:val="00A03FDB"/>
    <w:rsid w:val="00A1309D"/>
    <w:rsid w:val="00A13571"/>
    <w:rsid w:val="00A232D3"/>
    <w:rsid w:val="00A467FE"/>
    <w:rsid w:val="00B66970"/>
    <w:rsid w:val="00B849C8"/>
    <w:rsid w:val="00B93574"/>
    <w:rsid w:val="00C0406A"/>
    <w:rsid w:val="00C10062"/>
    <w:rsid w:val="00C21281"/>
    <w:rsid w:val="00C4774C"/>
    <w:rsid w:val="00CA0A29"/>
    <w:rsid w:val="00D160AD"/>
    <w:rsid w:val="00D2782F"/>
    <w:rsid w:val="00D3373B"/>
    <w:rsid w:val="00D379FA"/>
    <w:rsid w:val="00D5693E"/>
    <w:rsid w:val="00DF584E"/>
    <w:rsid w:val="00E06DE8"/>
    <w:rsid w:val="00E139E6"/>
    <w:rsid w:val="00E1479C"/>
    <w:rsid w:val="00E722E1"/>
    <w:rsid w:val="00E76632"/>
    <w:rsid w:val="00EE3B30"/>
    <w:rsid w:val="00F10146"/>
    <w:rsid w:val="00F26D76"/>
    <w:rsid w:val="00F4270B"/>
    <w:rsid w:val="00F63ACC"/>
    <w:rsid w:val="00F80043"/>
    <w:rsid w:val="00FC48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ADBC5B2-CCF7-4225-8461-D98DE223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9FA"/>
    <w:rPr>
      <w:rFonts w:ascii="Arial" w:hAnsi="Arial"/>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D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B66970"/>
    <w:pPr>
      <w:shd w:val="clear" w:color="auto" w:fill="000080"/>
    </w:pPr>
    <w:rPr>
      <w:rFonts w:ascii="Tahoma" w:hAnsi="Tahoma" w:cs="Tahoma"/>
    </w:rPr>
  </w:style>
  <w:style w:type="paragraph" w:styleId="Ballontekst">
    <w:name w:val="Balloon Text"/>
    <w:basedOn w:val="Standaard"/>
    <w:semiHidden/>
    <w:rsid w:val="00CA0A29"/>
    <w:rPr>
      <w:rFonts w:ascii="Tahoma" w:hAnsi="Tahoma" w:cs="Tahoma"/>
      <w:sz w:val="16"/>
      <w:szCs w:val="16"/>
    </w:rPr>
  </w:style>
  <w:style w:type="character" w:styleId="Verwijzingopmerking">
    <w:name w:val="annotation reference"/>
    <w:rsid w:val="009826E4"/>
    <w:rPr>
      <w:sz w:val="16"/>
      <w:szCs w:val="16"/>
    </w:rPr>
  </w:style>
  <w:style w:type="paragraph" w:styleId="Tekstopmerking">
    <w:name w:val="annotation text"/>
    <w:basedOn w:val="Standaard"/>
    <w:link w:val="TekstopmerkingChar"/>
    <w:rsid w:val="009826E4"/>
  </w:style>
  <w:style w:type="character" w:customStyle="1" w:styleId="TekstopmerkingChar">
    <w:name w:val="Tekst opmerking Char"/>
    <w:link w:val="Tekstopmerking"/>
    <w:rsid w:val="009826E4"/>
    <w:rPr>
      <w:rFonts w:ascii="Arial" w:hAnsi="Arial"/>
    </w:rPr>
  </w:style>
  <w:style w:type="paragraph" w:styleId="Onderwerpvanopmerking">
    <w:name w:val="annotation subject"/>
    <w:basedOn w:val="Tekstopmerking"/>
    <w:next w:val="Tekstopmerking"/>
    <w:link w:val="OnderwerpvanopmerkingChar"/>
    <w:rsid w:val="009826E4"/>
    <w:rPr>
      <w:b/>
      <w:bCs/>
    </w:rPr>
  </w:style>
  <w:style w:type="character" w:customStyle="1" w:styleId="OnderwerpvanopmerkingChar">
    <w:name w:val="Onderwerp van opmerking Char"/>
    <w:link w:val="Onderwerpvanopmerking"/>
    <w:rsid w:val="009826E4"/>
    <w:rPr>
      <w:rFonts w:ascii="Arial" w:hAnsi="Arial"/>
      <w:b/>
      <w:bCs/>
    </w:rPr>
  </w:style>
  <w:style w:type="character" w:styleId="Hyperlink">
    <w:name w:val="Hyperlink"/>
    <w:basedOn w:val="Standaardalinea-lettertype"/>
    <w:rsid w:val="00D569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5718">
      <w:bodyDiv w:val="1"/>
      <w:marLeft w:val="0"/>
      <w:marRight w:val="0"/>
      <w:marTop w:val="0"/>
      <w:marBottom w:val="0"/>
      <w:divBdr>
        <w:top w:val="none" w:sz="0" w:space="0" w:color="auto"/>
        <w:left w:val="none" w:sz="0" w:space="0" w:color="auto"/>
        <w:bottom w:val="none" w:sz="0" w:space="0" w:color="auto"/>
        <w:right w:val="none" w:sz="0" w:space="0" w:color="auto"/>
      </w:divBdr>
    </w:div>
    <w:div w:id="510266015">
      <w:bodyDiv w:val="1"/>
      <w:marLeft w:val="0"/>
      <w:marRight w:val="0"/>
      <w:marTop w:val="0"/>
      <w:marBottom w:val="0"/>
      <w:divBdr>
        <w:top w:val="none" w:sz="0" w:space="0" w:color="auto"/>
        <w:left w:val="none" w:sz="0" w:space="0" w:color="auto"/>
        <w:bottom w:val="none" w:sz="0" w:space="0" w:color="auto"/>
        <w:right w:val="none" w:sz="0" w:space="0" w:color="auto"/>
      </w:divBdr>
    </w:div>
    <w:div w:id="713120048">
      <w:bodyDiv w:val="1"/>
      <w:marLeft w:val="0"/>
      <w:marRight w:val="0"/>
      <w:marTop w:val="0"/>
      <w:marBottom w:val="0"/>
      <w:divBdr>
        <w:top w:val="none" w:sz="0" w:space="0" w:color="auto"/>
        <w:left w:val="none" w:sz="0" w:space="0" w:color="auto"/>
        <w:bottom w:val="none" w:sz="0" w:space="0" w:color="auto"/>
        <w:right w:val="none" w:sz="0" w:space="0" w:color="auto"/>
      </w:divBdr>
    </w:div>
    <w:div w:id="14225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albl_raads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albl_raadsmemo</Template>
  <TotalTime>0</TotalTime>
  <Pages>2</Pages>
  <Words>829</Words>
  <Characters>4656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RAADSMEMO</vt:lpstr>
    </vt:vector>
  </TitlesOfParts>
  <Company>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RAADSMEMO</dc:title>
  <dc:subject/>
  <dc:creator>Martin Oosters</dc:creator>
  <cp:keywords/>
  <cp:lastModifiedBy>arjan kraijo</cp:lastModifiedBy>
  <cp:revision>2</cp:revision>
  <cp:lastPrinted>2015-03-06T09:39:00Z</cp:lastPrinted>
  <dcterms:created xsi:type="dcterms:W3CDTF">2015-09-21T17:31:00Z</dcterms:created>
  <dcterms:modified xsi:type="dcterms:W3CDTF">2015-09-21T17:31:00Z</dcterms:modified>
</cp:coreProperties>
</file>