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6F" w:rsidRPr="00150BF5" w:rsidRDefault="0023786F" w:rsidP="00BC5D74"/>
    <w:p w:rsidR="0023786F" w:rsidRPr="00150BF5" w:rsidRDefault="0023786F" w:rsidP="00BC5D74"/>
    <w:p w:rsidR="00BC5D74" w:rsidRPr="00150BF5" w:rsidRDefault="00150BF5" w:rsidP="00BC5D74">
      <w:r w:rsidRPr="00150BF5">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9F1A3E" w:rsidRDefault="006E74CA" w:rsidP="00FC6C00">
                            <w:pPr>
                              <w:pStyle w:val="ALBDocInvulling"/>
                              <w:rPr>
                                <w:lang w:val="en-US"/>
                              </w:rPr>
                            </w:pPr>
                            <w:r w:rsidRPr="009F1A3E">
                              <w:rPr>
                                <w:lang w:val="en-US"/>
                              </w:rPr>
                              <w:t>F:</w:t>
                            </w:r>
                            <w:r w:rsidRPr="009F1A3E">
                              <w:rPr>
                                <w:lang w:val="en-US"/>
                              </w:rPr>
                              <w:tab/>
                              <w:t xml:space="preserve">(078) </w:t>
                            </w:r>
                            <w:r w:rsidR="00A75C86" w:rsidRPr="009F1A3E">
                              <w:rPr>
                                <w:lang w:val="en-US"/>
                              </w:rPr>
                              <w:t>770 80 80</w:t>
                            </w:r>
                          </w:p>
                          <w:p w:rsidR="006E74CA" w:rsidRPr="009F1A3E" w:rsidRDefault="006E74CA" w:rsidP="00FC6C00">
                            <w:pPr>
                              <w:pStyle w:val="ALBDocInvulling"/>
                              <w:rPr>
                                <w:lang w:val="en-US"/>
                              </w:rPr>
                            </w:pPr>
                            <w:r w:rsidRPr="009F1A3E">
                              <w:rPr>
                                <w:lang w:val="en-US"/>
                              </w:rPr>
                              <w:t>I:</w:t>
                            </w:r>
                            <w:r w:rsidRPr="009F1A3E">
                              <w:rPr>
                                <w:lang w:val="en-US"/>
                              </w:rPr>
                              <w:tab/>
                              <w:t>www.alblasserdam.nl</w:t>
                            </w:r>
                          </w:p>
                          <w:p w:rsidR="006E74CA" w:rsidRPr="009F1A3E" w:rsidRDefault="006E74CA" w:rsidP="00FC6C00">
                            <w:pPr>
                              <w:pStyle w:val="ALBDocInvulling"/>
                              <w:rPr>
                                <w:lang w:val="en-US"/>
                              </w:rPr>
                            </w:pPr>
                            <w:r w:rsidRPr="009F1A3E">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A84F80" w:rsidP="00FC6C00">
                            <w:pPr>
                              <w:pStyle w:val="ALBDocInvulling"/>
                            </w:pPr>
                            <w:bookmarkStart w:id="0" w:name="blwDatum"/>
                            <w:r>
                              <w:t>2</w:t>
                            </w:r>
                            <w:r w:rsidR="00150BF5">
                              <w:t xml:space="preserve">9 </w:t>
                            </w:r>
                            <w:r>
                              <w:t>maart</w:t>
                            </w:r>
                            <w:r w:rsidR="00150BF5">
                              <w:t xml:space="preserve"> 2016</w:t>
                            </w:r>
                            <w:bookmarkEnd w:id="0"/>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50BF5" w:rsidP="003340BF">
                            <w:pPr>
                              <w:pStyle w:val="ALBDocInvulling"/>
                            </w:pPr>
                            <w:bookmarkStart w:id="1" w:name="blwOnd"/>
                            <w:r>
                              <w:t>Lokale opvatting gemeente Alblasserdam afronding dialoog over systematiek Trap op Trap af</w:t>
                            </w:r>
                            <w:bookmarkEnd w:id="1"/>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150BF5" w:rsidP="00FC6C00">
                            <w:pPr>
                              <w:pStyle w:val="ALBDocInvulling"/>
                            </w:pPr>
                            <w:bookmarkStart w:id="2" w:name="blwUwKenm"/>
                            <w:r>
                              <w:t>BDR/16/1575429</w:t>
                            </w:r>
                            <w:bookmarkEnd w:id="2"/>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150BF5" w:rsidP="00FC6C00">
                            <w:pPr>
                              <w:pStyle w:val="ALBDocInvulling"/>
                            </w:pPr>
                            <w:bookmarkStart w:id="3" w:name="blwUwBriefDd"/>
                            <w:r>
                              <w:t>10 februari 2016</w:t>
                            </w:r>
                            <w:bookmarkEnd w:id="3"/>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4" w:name="blwOnsNum"/>
                            <w:bookmarkEnd w:id="4"/>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5" w:name="blwBijlgn"/>
                            <w:bookmarkEnd w:id="5"/>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E1662F" w:rsidP="00FC6C00">
                            <w:pPr>
                              <w:pStyle w:val="ALBDocInvulling"/>
                            </w:pPr>
                            <w:r w:rsidRPr="00E1662F">
                              <w:rPr>
                                <w:highlight w:val="yellow"/>
                              </w:rPr>
                              <w:t>naam</w:t>
                            </w:r>
                          </w:p>
                          <w:p w:rsidR="006E74CA" w:rsidRPr="008A0090" w:rsidRDefault="006E74CA" w:rsidP="00FC6C00">
                            <w:pPr>
                              <w:pStyle w:val="ALBDocInvulling"/>
                            </w:pPr>
                            <w:r>
                              <w:t>E:</w:t>
                            </w:r>
                            <w:r>
                              <w:tab/>
                            </w:r>
                            <w:r w:rsidR="00E1662F" w:rsidRPr="00E1662F">
                              <w:rPr>
                                <w:highlight w:val="yellow"/>
                              </w:rPr>
                              <w:t>email</w:t>
                            </w:r>
                          </w:p>
                          <w:p w:rsidR="006E74CA" w:rsidRPr="008A0090" w:rsidRDefault="006E74CA" w:rsidP="00FC6C00">
                            <w:pPr>
                              <w:pStyle w:val="ALBDocInvulling"/>
                            </w:pPr>
                            <w:r>
                              <w:t>T:</w:t>
                            </w:r>
                            <w:r>
                              <w:tab/>
                            </w:r>
                            <w:r w:rsidR="00E1662F" w:rsidRPr="00E1662F">
                              <w:rPr>
                                <w:highlight w:val="yellow"/>
                              </w:rPr>
                              <w:t xml:space="preserve">tel </w:t>
                            </w:r>
                            <w:proofErr w:type="spellStart"/>
                            <w:r w:rsidR="00E1662F" w:rsidRPr="00E1662F">
                              <w:rPr>
                                <w:highlight w:val="yellow"/>
                              </w:rPr>
                              <w:t>nr</w:t>
                            </w:r>
                            <w:proofErr w:type="spellEnd"/>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9F1A3E" w:rsidRDefault="006E74CA" w:rsidP="00FC6C00">
                      <w:pPr>
                        <w:pStyle w:val="ALBDocInvulling"/>
                        <w:rPr>
                          <w:lang w:val="en-US"/>
                        </w:rPr>
                      </w:pPr>
                      <w:r w:rsidRPr="009F1A3E">
                        <w:rPr>
                          <w:lang w:val="en-US"/>
                        </w:rPr>
                        <w:t>F:</w:t>
                      </w:r>
                      <w:r w:rsidRPr="009F1A3E">
                        <w:rPr>
                          <w:lang w:val="en-US"/>
                        </w:rPr>
                        <w:tab/>
                        <w:t xml:space="preserve">(078) </w:t>
                      </w:r>
                      <w:r w:rsidR="00A75C86" w:rsidRPr="009F1A3E">
                        <w:rPr>
                          <w:lang w:val="en-US"/>
                        </w:rPr>
                        <w:t>770 80 80</w:t>
                      </w:r>
                    </w:p>
                    <w:p w:rsidR="006E74CA" w:rsidRPr="009F1A3E" w:rsidRDefault="006E74CA" w:rsidP="00FC6C00">
                      <w:pPr>
                        <w:pStyle w:val="ALBDocInvulling"/>
                        <w:rPr>
                          <w:lang w:val="en-US"/>
                        </w:rPr>
                      </w:pPr>
                      <w:r w:rsidRPr="009F1A3E">
                        <w:rPr>
                          <w:lang w:val="en-US"/>
                        </w:rPr>
                        <w:t>I:</w:t>
                      </w:r>
                      <w:r w:rsidRPr="009F1A3E">
                        <w:rPr>
                          <w:lang w:val="en-US"/>
                        </w:rPr>
                        <w:tab/>
                        <w:t>www.alblasserdam.nl</w:t>
                      </w:r>
                    </w:p>
                    <w:p w:rsidR="006E74CA" w:rsidRPr="009F1A3E" w:rsidRDefault="006E74CA" w:rsidP="00FC6C00">
                      <w:pPr>
                        <w:pStyle w:val="ALBDocInvulling"/>
                        <w:rPr>
                          <w:lang w:val="en-US"/>
                        </w:rPr>
                      </w:pPr>
                      <w:r w:rsidRPr="009F1A3E">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A84F80" w:rsidP="00FC6C00">
                      <w:pPr>
                        <w:pStyle w:val="ALBDocInvulling"/>
                      </w:pPr>
                      <w:bookmarkStart w:id="6" w:name="blwDatum"/>
                      <w:r>
                        <w:t>2</w:t>
                      </w:r>
                      <w:r w:rsidR="00150BF5">
                        <w:t xml:space="preserve">9 </w:t>
                      </w:r>
                      <w:r>
                        <w:t>maart</w:t>
                      </w:r>
                      <w:r w:rsidR="00150BF5">
                        <w:t xml:space="preserve"> 2016</w:t>
                      </w:r>
                      <w:bookmarkEnd w:id="6"/>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50BF5" w:rsidP="003340BF">
                      <w:pPr>
                        <w:pStyle w:val="ALBDocInvulling"/>
                      </w:pPr>
                      <w:bookmarkStart w:id="7" w:name="blwOnd"/>
                      <w:r>
                        <w:t>Lokale opvatting gemeente Alblasserdam afronding dialoog over systematiek Trap op Trap af</w:t>
                      </w:r>
                      <w:bookmarkEnd w:id="7"/>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150BF5" w:rsidP="00FC6C00">
                      <w:pPr>
                        <w:pStyle w:val="ALBDocInvulling"/>
                      </w:pPr>
                      <w:bookmarkStart w:id="8" w:name="blwUwKenm"/>
                      <w:r>
                        <w:t>BDR/16/1575429</w:t>
                      </w:r>
                      <w:bookmarkEnd w:id="8"/>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150BF5" w:rsidP="00FC6C00">
                      <w:pPr>
                        <w:pStyle w:val="ALBDocInvulling"/>
                      </w:pPr>
                      <w:bookmarkStart w:id="9" w:name="blwUwBriefDd"/>
                      <w:r>
                        <w:t>10 februari 2016</w:t>
                      </w:r>
                      <w:bookmarkEnd w:id="9"/>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0" w:name="blwOnsNum"/>
                      <w:bookmarkEnd w:id="10"/>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1" w:name="blwBijlgn"/>
                      <w:bookmarkEnd w:id="11"/>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E1662F" w:rsidP="00FC6C00">
                      <w:pPr>
                        <w:pStyle w:val="ALBDocInvulling"/>
                      </w:pPr>
                      <w:r w:rsidRPr="00E1662F">
                        <w:rPr>
                          <w:highlight w:val="yellow"/>
                        </w:rPr>
                        <w:t>naam</w:t>
                      </w:r>
                    </w:p>
                    <w:p w:rsidR="006E74CA" w:rsidRPr="008A0090" w:rsidRDefault="006E74CA" w:rsidP="00FC6C00">
                      <w:pPr>
                        <w:pStyle w:val="ALBDocInvulling"/>
                      </w:pPr>
                      <w:r>
                        <w:t>E:</w:t>
                      </w:r>
                      <w:r>
                        <w:tab/>
                      </w:r>
                      <w:r w:rsidR="00E1662F" w:rsidRPr="00E1662F">
                        <w:rPr>
                          <w:highlight w:val="yellow"/>
                        </w:rPr>
                        <w:t>email</w:t>
                      </w:r>
                    </w:p>
                    <w:p w:rsidR="006E74CA" w:rsidRPr="008A0090" w:rsidRDefault="006E74CA" w:rsidP="00FC6C00">
                      <w:pPr>
                        <w:pStyle w:val="ALBDocInvulling"/>
                      </w:pPr>
                      <w:r>
                        <w:t>T:</w:t>
                      </w:r>
                      <w:r>
                        <w:tab/>
                      </w:r>
                      <w:r w:rsidR="00E1662F" w:rsidRPr="00E1662F">
                        <w:rPr>
                          <w:highlight w:val="yellow"/>
                        </w:rPr>
                        <w:t xml:space="preserve">tel </w:t>
                      </w:r>
                      <w:proofErr w:type="spellStart"/>
                      <w:r w:rsidR="00E1662F" w:rsidRPr="00E1662F">
                        <w:rPr>
                          <w:highlight w:val="yellow"/>
                        </w:rPr>
                        <w:t>nr</w:t>
                      </w:r>
                      <w:proofErr w:type="spellEnd"/>
                      <w:r w:rsidRPr="008A0090">
                        <w:t xml:space="preserve"> </w:t>
                      </w:r>
                    </w:p>
                    <w:p w:rsidR="006E74CA" w:rsidRPr="008A0090" w:rsidRDefault="006E74CA" w:rsidP="00FC6C00">
                      <w:pPr>
                        <w:pStyle w:val="ALBDocInvulling"/>
                      </w:pPr>
                    </w:p>
                  </w:txbxContent>
                </v:textbox>
                <w10:wrap anchorx="page" anchory="page"/>
              </v:shape>
            </w:pict>
          </mc:Fallback>
        </mc:AlternateContent>
      </w:r>
      <w:r w:rsidRPr="00150BF5">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BF5" w:rsidRPr="001766D9" w:rsidRDefault="00150BF5" w:rsidP="00150BF5">
                            <w:pPr>
                              <w:pStyle w:val="ALBAdres"/>
                            </w:pPr>
                            <w:bookmarkStart w:id="12" w:name="blwAdres"/>
                            <w:r w:rsidRPr="001766D9">
                              <w:t>Gemeenschappelijke Regeling Drechtsteden</w:t>
                            </w:r>
                          </w:p>
                          <w:p w:rsidR="00150BF5" w:rsidRPr="001766D9" w:rsidRDefault="00150BF5" w:rsidP="00150BF5">
                            <w:pPr>
                              <w:pStyle w:val="ALBAdres"/>
                            </w:pPr>
                            <w:r w:rsidRPr="001766D9">
                              <w:t>t.a.v. Drechtstedenbestuur</w:t>
                            </w:r>
                          </w:p>
                          <w:p w:rsidR="00150BF5" w:rsidRDefault="00150BF5" w:rsidP="00D53CA0">
                            <w:pPr>
                              <w:pStyle w:val="ALBAdres"/>
                              <w:rPr>
                                <w:lang w:val="en-GB"/>
                              </w:rPr>
                            </w:pPr>
                            <w:r>
                              <w:rPr>
                                <w:lang w:val="en-GB"/>
                              </w:rPr>
                              <w:t>Postbus 619</w:t>
                            </w:r>
                          </w:p>
                          <w:p w:rsidR="00150BF5" w:rsidRDefault="00150BF5" w:rsidP="00D53CA0">
                            <w:pPr>
                              <w:pStyle w:val="ALBAdres"/>
                              <w:rPr>
                                <w:lang w:val="en-GB"/>
                              </w:rPr>
                            </w:pPr>
                            <w:r>
                              <w:rPr>
                                <w:lang w:val="en-GB"/>
                              </w:rPr>
                              <w:t>330 AP  Dordrecht</w:t>
                            </w:r>
                          </w:p>
                          <w:bookmarkEnd w:id="12"/>
                          <w:p w:rsidR="006E74CA" w:rsidRDefault="006E74CA" w:rsidP="00D53CA0">
                            <w:pPr>
                              <w:pStyle w:val="ALBAdres"/>
                              <w:rPr>
                                <w:lang w:val="en-GB"/>
                              </w:rPr>
                            </w:pPr>
                          </w:p>
                          <w:p w:rsidR="006E74CA" w:rsidRDefault="00150BF5" w:rsidP="00311643">
                            <w:pPr>
                              <w:pStyle w:val="ALBKIX"/>
                            </w:pPr>
                            <w:bookmarkStart w:id="13" w:name="blwKIX"/>
                            <w:r>
                              <w:t xml:space="preserve"> </w:t>
                            </w:r>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150BF5" w:rsidRPr="001766D9" w:rsidRDefault="00150BF5" w:rsidP="00150BF5">
                      <w:pPr>
                        <w:pStyle w:val="ALBAdres"/>
                      </w:pPr>
                      <w:bookmarkStart w:id="14" w:name="blwAdres"/>
                      <w:r w:rsidRPr="001766D9">
                        <w:t>Gemeenschappelijke Regeling Drechtsteden</w:t>
                      </w:r>
                    </w:p>
                    <w:p w:rsidR="00150BF5" w:rsidRPr="001766D9" w:rsidRDefault="00150BF5" w:rsidP="00150BF5">
                      <w:pPr>
                        <w:pStyle w:val="ALBAdres"/>
                      </w:pPr>
                      <w:r w:rsidRPr="001766D9">
                        <w:t>t.a.v. Drechtstedenbestuur</w:t>
                      </w:r>
                    </w:p>
                    <w:p w:rsidR="00150BF5" w:rsidRDefault="00150BF5" w:rsidP="00D53CA0">
                      <w:pPr>
                        <w:pStyle w:val="ALBAdres"/>
                        <w:rPr>
                          <w:lang w:val="en-GB"/>
                        </w:rPr>
                      </w:pPr>
                      <w:r>
                        <w:rPr>
                          <w:lang w:val="en-GB"/>
                        </w:rPr>
                        <w:t>Postbus 619</w:t>
                      </w:r>
                    </w:p>
                    <w:p w:rsidR="00150BF5" w:rsidRDefault="00150BF5" w:rsidP="00D53CA0">
                      <w:pPr>
                        <w:pStyle w:val="ALBAdres"/>
                        <w:rPr>
                          <w:lang w:val="en-GB"/>
                        </w:rPr>
                      </w:pPr>
                      <w:r>
                        <w:rPr>
                          <w:lang w:val="en-GB"/>
                        </w:rPr>
                        <w:t>330 AP  Dordrecht</w:t>
                      </w:r>
                    </w:p>
                    <w:bookmarkEnd w:id="14"/>
                    <w:p w:rsidR="006E74CA" w:rsidRDefault="006E74CA" w:rsidP="00D53CA0">
                      <w:pPr>
                        <w:pStyle w:val="ALBAdres"/>
                        <w:rPr>
                          <w:lang w:val="en-GB"/>
                        </w:rPr>
                      </w:pPr>
                    </w:p>
                    <w:p w:rsidR="006E74CA" w:rsidRDefault="00150BF5" w:rsidP="00311643">
                      <w:pPr>
                        <w:pStyle w:val="ALBKIX"/>
                      </w:pPr>
                      <w:bookmarkStart w:id="15" w:name="blwKIX"/>
                      <w:r>
                        <w:t xml:space="preserve"> </w:t>
                      </w:r>
                      <w:bookmarkEnd w:id="15"/>
                    </w:p>
                  </w:txbxContent>
                </v:textbox>
                <w10:wrap anchorx="page" anchory="page"/>
              </v:shape>
            </w:pict>
          </mc:Fallback>
        </mc:AlternateContent>
      </w:r>
      <w:r w:rsidR="005C6C1A" w:rsidRPr="00150BF5">
        <w:t>Geacht</w:t>
      </w:r>
      <w:r>
        <w:t xml:space="preserve"> bestuur</w:t>
      </w:r>
      <w:r w:rsidR="00BC5D74" w:rsidRPr="00150BF5">
        <w:t>,</w:t>
      </w:r>
    </w:p>
    <w:p w:rsidR="00BC5D74" w:rsidRPr="00150BF5" w:rsidRDefault="00BC5D74" w:rsidP="00BC5D74"/>
    <w:p w:rsidR="0095575E" w:rsidRDefault="0095575E" w:rsidP="0095575E">
      <w:pPr>
        <w:rPr>
          <w:rFonts w:cs="Arial"/>
          <w:szCs w:val="20"/>
        </w:rPr>
      </w:pPr>
      <w:bookmarkStart w:id="16" w:name="blwBrfText"/>
      <w:bookmarkEnd w:id="16"/>
      <w:r w:rsidRPr="00AD21E5">
        <w:rPr>
          <w:rFonts w:cs="Arial"/>
          <w:szCs w:val="20"/>
        </w:rPr>
        <w:t xml:space="preserve">In uw brief van </w:t>
      </w:r>
      <w:r>
        <w:rPr>
          <w:rFonts w:cs="Arial"/>
          <w:szCs w:val="20"/>
        </w:rPr>
        <w:t>10 februari</w:t>
      </w:r>
      <w:r w:rsidRPr="00AD21E5">
        <w:rPr>
          <w:rFonts w:cs="Arial"/>
          <w:szCs w:val="20"/>
        </w:rPr>
        <w:t xml:space="preserve"> 201</w:t>
      </w:r>
      <w:r>
        <w:rPr>
          <w:rFonts w:cs="Arial"/>
          <w:szCs w:val="20"/>
        </w:rPr>
        <w:t>6</w:t>
      </w:r>
      <w:r w:rsidRPr="00AD21E5">
        <w:rPr>
          <w:rFonts w:cs="Arial"/>
          <w:szCs w:val="20"/>
        </w:rPr>
        <w:t xml:space="preserve"> </w:t>
      </w:r>
      <w:r>
        <w:rPr>
          <w:rFonts w:cs="Arial"/>
          <w:szCs w:val="20"/>
        </w:rPr>
        <w:t xml:space="preserve">verzoekt u om het voorstel 'Afronding dialoog over systematiek Trap op Trap af' uiterlijk 11 maart 2016 te voorzien van onze lokale opvattingen. </w:t>
      </w:r>
      <w:r w:rsidR="00A84F80" w:rsidRPr="00A84F80">
        <w:rPr>
          <w:rFonts w:cs="Arial"/>
          <w:szCs w:val="20"/>
          <w:highlight w:val="yellow"/>
        </w:rPr>
        <w:t xml:space="preserve">Uw bestuur heeft voor 11 maart 2016 een lokale opvatting ontvangen van het college, onder voorbehoud van bespreking in de gemeenteraad. De gemeenteraad heeft het voorstel op dinsdag 29 maart 2016 besproken. </w:t>
      </w:r>
      <w:r w:rsidRPr="00A84F80">
        <w:rPr>
          <w:rFonts w:cs="Arial"/>
          <w:szCs w:val="20"/>
          <w:highlight w:val="yellow"/>
        </w:rPr>
        <w:t>In deze brief ontvangt u de opvatting van de gemeente</w:t>
      </w:r>
      <w:r w:rsidR="00A84F80" w:rsidRPr="00A84F80">
        <w:rPr>
          <w:rFonts w:cs="Arial"/>
          <w:szCs w:val="20"/>
          <w:highlight w:val="yellow"/>
        </w:rPr>
        <w:t>raad van de gemeente</w:t>
      </w:r>
      <w:r w:rsidRPr="00A84F80">
        <w:rPr>
          <w:rFonts w:cs="Arial"/>
          <w:szCs w:val="20"/>
          <w:highlight w:val="yellow"/>
        </w:rPr>
        <w:t xml:space="preserve"> Alblasserdam.</w:t>
      </w:r>
    </w:p>
    <w:p w:rsidR="0095575E" w:rsidRDefault="0095575E" w:rsidP="0095575E">
      <w:pPr>
        <w:rPr>
          <w:rFonts w:cs="Arial"/>
          <w:szCs w:val="20"/>
        </w:rPr>
      </w:pPr>
    </w:p>
    <w:p w:rsidR="00CF2E79" w:rsidRPr="00CF2E79" w:rsidRDefault="00CF2E79" w:rsidP="00CF2E79">
      <w:pPr>
        <w:rPr>
          <w:rFonts w:cs="Arial"/>
          <w:szCs w:val="20"/>
        </w:rPr>
      </w:pPr>
      <w:r w:rsidRPr="00CF2E79">
        <w:rPr>
          <w:rFonts w:cs="Arial"/>
          <w:szCs w:val="20"/>
        </w:rPr>
        <w:t xml:space="preserve">Wij onderschrijven dat </w:t>
      </w:r>
      <w:r>
        <w:rPr>
          <w:rFonts w:cs="Arial"/>
          <w:szCs w:val="20"/>
        </w:rPr>
        <w:t>het voorstel</w:t>
      </w:r>
      <w:r w:rsidRPr="00CF2E79">
        <w:rPr>
          <w:rFonts w:cs="Arial"/>
          <w:szCs w:val="20"/>
        </w:rPr>
        <w:t xml:space="preserve"> bijdraagt aan het optimaal in positie brengen van de Drechtraad en de gemeenteraden om de </w:t>
      </w:r>
      <w:proofErr w:type="spellStart"/>
      <w:r w:rsidRPr="00CF2E79">
        <w:rPr>
          <w:rFonts w:cs="Arial"/>
          <w:szCs w:val="20"/>
        </w:rPr>
        <w:t>kaderstellende</w:t>
      </w:r>
      <w:proofErr w:type="spellEnd"/>
      <w:r w:rsidRPr="00CF2E79">
        <w:rPr>
          <w:rFonts w:cs="Arial"/>
          <w:szCs w:val="20"/>
        </w:rPr>
        <w:t xml:space="preserve"> rol te vervullen. Als belangrijkste verbeterpunten zien wij:</w:t>
      </w:r>
    </w:p>
    <w:p w:rsidR="00CF2E79" w:rsidRDefault="00CF2E79" w:rsidP="00CF2E79">
      <w:pPr>
        <w:pStyle w:val="Lijstalinea"/>
        <w:numPr>
          <w:ilvl w:val="0"/>
          <w:numId w:val="1"/>
        </w:numPr>
        <w:rPr>
          <w:rFonts w:cs="Arial"/>
          <w:szCs w:val="20"/>
        </w:rPr>
      </w:pPr>
      <w:r w:rsidRPr="00CF2E79">
        <w:rPr>
          <w:rFonts w:cs="Arial"/>
          <w:szCs w:val="20"/>
        </w:rPr>
        <w:t>Heldere kaderstelling door de eigenaren voor de financiële ruimte (Trap af Trap op) bij de GRD in het najaar t (september / oktober) voor de begroting t+2</w:t>
      </w:r>
      <w:r>
        <w:rPr>
          <w:rFonts w:cs="Arial"/>
          <w:szCs w:val="20"/>
        </w:rPr>
        <w:t>.</w:t>
      </w:r>
    </w:p>
    <w:p w:rsidR="00CF2E79" w:rsidRDefault="00CF2E79" w:rsidP="00CF2E79">
      <w:pPr>
        <w:pStyle w:val="Lijstalinea"/>
        <w:numPr>
          <w:ilvl w:val="0"/>
          <w:numId w:val="1"/>
        </w:numPr>
        <w:rPr>
          <w:rFonts w:cs="Arial"/>
          <w:szCs w:val="20"/>
        </w:rPr>
      </w:pPr>
      <w:r w:rsidRPr="00CF2E79">
        <w:rPr>
          <w:rFonts w:cs="Arial"/>
          <w:szCs w:val="20"/>
        </w:rPr>
        <w:t>Helder startsein (ruim een jaar voor het begrotingsjaar) voor de GRD om bezuinigings- of intensiveringsvoorstellen voor te bereiden. Hierdoor wordt de GRD in positie gebracht om tijdig invulling te geven aan de bezuinigings- of intensiveringsvoorstellen en de besluitvorming over deze voorstellen af te ronden voorafgaand aan het begrotingsjaar.</w:t>
      </w:r>
    </w:p>
    <w:p w:rsidR="00CF2E79" w:rsidRDefault="00CF2E79" w:rsidP="00CF2E79">
      <w:pPr>
        <w:pStyle w:val="Lijstalinea"/>
        <w:numPr>
          <w:ilvl w:val="0"/>
          <w:numId w:val="1"/>
        </w:numPr>
        <w:rPr>
          <w:rFonts w:cs="Arial"/>
          <w:szCs w:val="20"/>
        </w:rPr>
      </w:pPr>
      <w:r w:rsidRPr="00CF2E79">
        <w:rPr>
          <w:rFonts w:cs="Arial"/>
          <w:szCs w:val="20"/>
        </w:rPr>
        <w:t>Een integraal afweegmoment bij de primaire begroting van de GRD van intensiverings- en bezuinigingsvoorstellen ten opzichte van de financiële ruimte op grond van de kaderstelling. Lokale raden worden in positie gebracht om hierop een zienswijze te geven en dit ook te betrekken bij de behandeling van de lokale perspectiefnota.</w:t>
      </w:r>
    </w:p>
    <w:p w:rsidR="00CF2E79" w:rsidRDefault="00CF2E79" w:rsidP="00CF2E79">
      <w:pPr>
        <w:pStyle w:val="Lijstalinea"/>
        <w:numPr>
          <w:ilvl w:val="0"/>
          <w:numId w:val="1"/>
        </w:numPr>
        <w:rPr>
          <w:rFonts w:cs="Arial"/>
          <w:szCs w:val="20"/>
        </w:rPr>
      </w:pPr>
      <w:r w:rsidRPr="00CF2E79">
        <w:rPr>
          <w:rFonts w:cs="Arial"/>
          <w:szCs w:val="20"/>
        </w:rPr>
        <w:t>Betere aansluiting van de P&amp;C cyclus van de GRD op de lokale P&amp;C cyclus. De GRD geeft in de primaire begroting al duiding aan de intensiverings- en bezuinigingsvoorstellen, zodat deze lokaal kan worden betrokken bij de perspectiefnota en/of begroting.</w:t>
      </w:r>
    </w:p>
    <w:p w:rsidR="0095575E" w:rsidRPr="00CF2E79" w:rsidRDefault="00CF2E79" w:rsidP="00CF2E79">
      <w:pPr>
        <w:pStyle w:val="Lijstalinea"/>
        <w:numPr>
          <w:ilvl w:val="0"/>
          <w:numId w:val="1"/>
        </w:numPr>
        <w:rPr>
          <w:rFonts w:cs="Arial"/>
          <w:szCs w:val="20"/>
        </w:rPr>
      </w:pPr>
      <w:r w:rsidRPr="00CF2E79">
        <w:rPr>
          <w:rFonts w:cs="Arial"/>
          <w:szCs w:val="20"/>
        </w:rPr>
        <w:t>Helderheid over de loon- en prijscompensatie in relatie tot Trap op Trap af.</w:t>
      </w:r>
    </w:p>
    <w:p w:rsidR="00BC5D74" w:rsidRDefault="00BC5D74" w:rsidP="00BC5D74"/>
    <w:p w:rsidR="00CF2E79" w:rsidRDefault="00CF2E79" w:rsidP="00BC5D74">
      <w:r>
        <w:t>In de toelichting op het voorstel zijn een aantal zaken nader geduid. Wij onderschrijven:</w:t>
      </w:r>
    </w:p>
    <w:p w:rsidR="00CF2E79" w:rsidRDefault="00CF2E79" w:rsidP="00CF2E79">
      <w:pPr>
        <w:pStyle w:val="Lijstalinea"/>
        <w:numPr>
          <w:ilvl w:val="0"/>
          <w:numId w:val="2"/>
        </w:numPr>
      </w:pPr>
      <w:r>
        <w:t>h</w:t>
      </w:r>
      <w:r w:rsidRPr="00CF2E79">
        <w:t xml:space="preserve">et belang </w:t>
      </w:r>
      <w:r w:rsidR="009F1A3E">
        <w:t>dat</w:t>
      </w:r>
      <w:r w:rsidRPr="00CF2E79">
        <w:t xml:space="preserve"> de Raadsinformatiebrief met de nieuwe kaders in september/oktober het startsein is voor de GRD om bezuinigings- of intensiveringsvoorstellen voor te bereiden</w:t>
      </w:r>
      <w:r>
        <w:t>.</w:t>
      </w:r>
    </w:p>
    <w:p w:rsidR="00CF2E79" w:rsidRPr="009F1A3E" w:rsidRDefault="00CF2E79" w:rsidP="004764F7">
      <w:pPr>
        <w:pStyle w:val="Lijstalinea"/>
        <w:numPr>
          <w:ilvl w:val="0"/>
          <w:numId w:val="2"/>
        </w:numPr>
      </w:pPr>
      <w:r>
        <w:t xml:space="preserve">het in de toelichting op het voorstel beschreven proces in de situatie Trap op: </w:t>
      </w:r>
      <w:r w:rsidRPr="009F1A3E">
        <w:t>'Deze intensiveringsvoorstellen worden vervolgens (conform de nieuwe uitgangspunten) zoveel als mogelijk al als richting bij de primaire begroting betrokken, waarna ze bij de Geactualiseerde begroting ter vaststelling worden voorgelegd aan de Drechtraad. Waarbij de Drechtraad de intensiveringsvoorstellen na een inhoudelijk debat vast kan stellen of af kan wijzen. Wanneer de voorstellen worden vastgesteld krijgt de GRD organisatie het benodigde aanvullende budget. Wanneer de voorstellen worden afgewezen krijgt de GRD organisatie géén aanvullend budget en blijven deze middelen lokaal voor de gemeenten beschikbaar. Hiermee heeft het proces in onze ogen veel overeenkomsten met het gemeentelijke kadernota debat.'</w:t>
      </w:r>
    </w:p>
    <w:p w:rsidR="00CF2E79" w:rsidRDefault="00CF2E79" w:rsidP="00CF2E79">
      <w:pPr>
        <w:pStyle w:val="Lijstalinea"/>
        <w:numPr>
          <w:ilvl w:val="0"/>
          <w:numId w:val="2"/>
        </w:numPr>
      </w:pPr>
      <w:r>
        <w:t>h</w:t>
      </w:r>
      <w:r w:rsidRPr="00CF2E79">
        <w:t>et belang van een goede inhoudelijke analyse van de ontwikkeling van het accres zoals genoemd in de toelichting op het voorstel (voorbeeld verschuiving CJG middelen)</w:t>
      </w:r>
      <w:r>
        <w:t>.</w:t>
      </w:r>
    </w:p>
    <w:p w:rsidR="00CF2E79" w:rsidRDefault="00CF2E79" w:rsidP="00BC5D74"/>
    <w:p w:rsidR="00CF2E79" w:rsidRDefault="00CF2E79" w:rsidP="00BC5D74">
      <w:r>
        <w:t xml:space="preserve">Wij constateren dat een aantal zaken in de toelichting op het voorstel en de beslispunten nog niet expliciet zijn benoemd. </w:t>
      </w:r>
      <w:r w:rsidR="00A84F80" w:rsidRPr="00A84F80">
        <w:rPr>
          <w:highlight w:val="yellow"/>
        </w:rPr>
        <w:t>Alvorens wij kunnen instemmen met het voorstel verzoeken wij het Drechtstedenbestuur</w:t>
      </w:r>
      <w:r w:rsidR="00940CC6" w:rsidRPr="00A84F80">
        <w:rPr>
          <w:highlight w:val="yellow"/>
        </w:rPr>
        <w:t>:</w:t>
      </w:r>
    </w:p>
    <w:p w:rsidR="00CF2E79" w:rsidRDefault="00CF2E79" w:rsidP="00FE34F0">
      <w:pPr>
        <w:pStyle w:val="Lijstalinea"/>
        <w:numPr>
          <w:ilvl w:val="0"/>
          <w:numId w:val="3"/>
        </w:numPr>
      </w:pPr>
      <w:r>
        <w:t>om expliciet in de beslispunten te benoemen dat de GRD meedeelt in de compensatie voor loon- en prijsontwikkeling, die gemeenten ontvangen door het accres bij de systematiek te betrekken, zodat de GRD hogere kosten naar aanleiding van loon- en prijsontwikkeling zelf dient op te vangen</w:t>
      </w:r>
      <w:r w:rsidR="00940CC6">
        <w:t>;</w:t>
      </w:r>
    </w:p>
    <w:p w:rsidR="00940CC6" w:rsidRDefault="00940CC6" w:rsidP="00940CC6">
      <w:pPr>
        <w:pStyle w:val="Lijstalinea"/>
        <w:numPr>
          <w:ilvl w:val="0"/>
          <w:numId w:val="3"/>
        </w:numPr>
      </w:pPr>
      <w:r>
        <w:t>in de primaire begroting de taakstelling volledig te verwerken in de bijdrage tabel van de gemeenten;</w:t>
      </w:r>
    </w:p>
    <w:p w:rsidR="00940CC6" w:rsidRDefault="00940CC6" w:rsidP="00940CC6">
      <w:pPr>
        <w:pStyle w:val="Lijstalinea"/>
        <w:numPr>
          <w:ilvl w:val="0"/>
          <w:numId w:val="3"/>
        </w:numPr>
      </w:pPr>
      <w:r>
        <w:t>in de primaire begroting de zoekrichting per domein te duiden met concreet te treffen maatregelen (WAT), waarbij de voorstellen richting geactualiseerde begroting definitief en verder kunnen worden uitgewerkt (HOE). Wij gaan er hierbij vanuit dat bij toepassing van de nieuwe systematiek de taakstelling volledig is ingevuld bij het vaststellen van de geactualiseerde begroting;</w:t>
      </w:r>
    </w:p>
    <w:p w:rsidR="00940CC6" w:rsidRDefault="00940CC6" w:rsidP="00940CC6">
      <w:pPr>
        <w:pStyle w:val="Lijstalinea"/>
        <w:numPr>
          <w:ilvl w:val="0"/>
          <w:numId w:val="3"/>
        </w:numPr>
      </w:pPr>
      <w:r w:rsidRPr="00940CC6">
        <w:t xml:space="preserve">om expliciet </w:t>
      </w:r>
      <w:r>
        <w:t xml:space="preserve">als </w:t>
      </w:r>
      <w:r w:rsidRPr="00940CC6">
        <w:t>beslispunt op te nemen dat de financiële ruimte, die als kaders door de eigenaren is opgenomen in de kaderbrief, bij vaststelling van de primaire begroting als bijdrage aan de GRD wordt toegekend, voor zover er intensiveringsvoorstellen in de primaire begroting worden vastgesteld. De resterende ruimte blijft lokaa</w:t>
      </w:r>
      <w:r>
        <w:t>l beschikbaar voor de gemeenten</w:t>
      </w:r>
      <w:r w:rsidR="00A84F80">
        <w:t xml:space="preserve">. </w:t>
      </w:r>
      <w:r w:rsidR="00A84F80" w:rsidRPr="00E1662F">
        <w:rPr>
          <w:highlight w:val="yellow"/>
        </w:rPr>
        <w:t xml:space="preserve">Dit betekent dat de GRD voor de zomer duidelijk moet maken welk deel van de beschikbare financiële ruimte de GRD op basis van inhoudelijke intensiveringsvoorstellen zal willen inzetten. </w:t>
      </w:r>
      <w:r w:rsidR="00E1662F" w:rsidRPr="00E1662F">
        <w:rPr>
          <w:highlight w:val="yellow"/>
        </w:rPr>
        <w:t>De resterende ruimte kunnen gemeenten dan in de gemeentelijke begroting lokaal inzetten</w:t>
      </w:r>
      <w:r>
        <w:t>;</w:t>
      </w:r>
    </w:p>
    <w:p w:rsidR="00940CC6" w:rsidRDefault="00940CC6" w:rsidP="00940CC6">
      <w:pPr>
        <w:pStyle w:val="Lijstalinea"/>
        <w:numPr>
          <w:ilvl w:val="0"/>
          <w:numId w:val="3"/>
        </w:numPr>
      </w:pPr>
      <w:r w:rsidRPr="00940CC6">
        <w:t>om bezuinigingen, waarbij sprake is van frictiekosten, pas mee te tellen voor de invulling van de taakstelling na de terugverdienperiode</w:t>
      </w:r>
      <w:r>
        <w:t>;</w:t>
      </w:r>
    </w:p>
    <w:p w:rsidR="00CF2E79" w:rsidRDefault="00940CC6" w:rsidP="00940CC6">
      <w:pPr>
        <w:pStyle w:val="Lijstalinea"/>
        <w:numPr>
          <w:ilvl w:val="0"/>
          <w:numId w:val="3"/>
        </w:numPr>
      </w:pPr>
      <w:r w:rsidRPr="00940CC6">
        <w:t xml:space="preserve">om in het kader van transparantie en </w:t>
      </w:r>
      <w:proofErr w:type="spellStart"/>
      <w:r w:rsidRPr="00940CC6">
        <w:t>toetsbaarheid</w:t>
      </w:r>
      <w:proofErr w:type="spellEnd"/>
      <w:r w:rsidRPr="00940CC6">
        <w:t xml:space="preserve"> de 'Voorbeeld uitwerking septembercirculaire 2015' bij het definitieve besluit </w:t>
      </w:r>
      <w:r>
        <w:t xml:space="preserve">als bijlage toe </w:t>
      </w:r>
      <w:r w:rsidRPr="00940CC6">
        <w:t>te voegen</w:t>
      </w:r>
      <w:r w:rsidR="00A84F80">
        <w:t>;</w:t>
      </w:r>
    </w:p>
    <w:p w:rsidR="00A84F80" w:rsidRDefault="00A84F80" w:rsidP="00940CC6">
      <w:pPr>
        <w:pStyle w:val="Lijstalinea"/>
        <w:numPr>
          <w:ilvl w:val="0"/>
          <w:numId w:val="3"/>
        </w:numPr>
      </w:pPr>
      <w:r w:rsidRPr="00A84F80">
        <w:rPr>
          <w:highlight w:val="yellow"/>
        </w:rPr>
        <w:t>een evaluatie van de nieuwe methodiek toe te zeggen.</w:t>
      </w:r>
      <w:r>
        <w:t xml:space="preserve"> </w:t>
      </w:r>
    </w:p>
    <w:p w:rsidR="00CF2E79" w:rsidRDefault="00CF2E79" w:rsidP="00BC5D74"/>
    <w:p w:rsidR="00940CC6" w:rsidRDefault="00940CC6" w:rsidP="00BC5D74">
      <w:r>
        <w:t xml:space="preserve">In de bijlage bij deze brief hebben wij de door ons gewenste aanpassingen en aanvullingen op de beslispunten in het definitieve voorstel </w:t>
      </w:r>
      <w:r>
        <w:rPr>
          <w:rFonts w:cs="Arial"/>
          <w:szCs w:val="20"/>
        </w:rPr>
        <w:t>'Afronding dialoog over systematiek Trap op Trap af'</w:t>
      </w:r>
      <w:r>
        <w:t xml:space="preserve"> opgenomen.</w:t>
      </w:r>
    </w:p>
    <w:p w:rsidR="00940CC6" w:rsidRDefault="00940CC6" w:rsidP="00BC5D74"/>
    <w:p w:rsidR="00E1662F" w:rsidRPr="004F1211" w:rsidRDefault="00E1662F" w:rsidP="00E1662F">
      <w:r w:rsidRPr="004F1211">
        <w:t>Met vriendelijke groet,</w:t>
      </w:r>
    </w:p>
    <w:p w:rsidR="00E1662F" w:rsidRDefault="00E1662F" w:rsidP="00E1662F">
      <w:pPr>
        <w:tabs>
          <w:tab w:val="right" w:pos="6946"/>
        </w:tabs>
      </w:pPr>
      <w:bookmarkStart w:id="17" w:name="blwBezwaar"/>
      <w:bookmarkStart w:id="18" w:name="blwOndertek"/>
      <w:bookmarkEnd w:id="17"/>
      <w:bookmarkEnd w:id="18"/>
      <w:r>
        <w:t>de gemeenteraad,</w:t>
      </w:r>
    </w:p>
    <w:p w:rsidR="00E1662F" w:rsidRDefault="00E1662F" w:rsidP="00E1662F">
      <w:pPr>
        <w:tabs>
          <w:tab w:val="right" w:pos="6946"/>
        </w:tabs>
      </w:pPr>
    </w:p>
    <w:p w:rsidR="00E1662F" w:rsidRDefault="00E1662F" w:rsidP="00E1662F">
      <w:pPr>
        <w:tabs>
          <w:tab w:val="right" w:pos="6946"/>
        </w:tabs>
      </w:pPr>
    </w:p>
    <w:p w:rsidR="00E1662F" w:rsidRDefault="00E1662F" w:rsidP="00E1662F">
      <w:pPr>
        <w:tabs>
          <w:tab w:val="right" w:pos="6946"/>
        </w:tabs>
      </w:pPr>
    </w:p>
    <w:p w:rsidR="00E1662F" w:rsidRDefault="00E1662F" w:rsidP="00E1662F">
      <w:pPr>
        <w:tabs>
          <w:tab w:val="right" w:pos="6946"/>
        </w:tabs>
      </w:pPr>
    </w:p>
    <w:p w:rsidR="00E1662F" w:rsidRDefault="00E1662F" w:rsidP="00E1662F">
      <w:pPr>
        <w:tabs>
          <w:tab w:val="left" w:pos="4820"/>
        </w:tabs>
      </w:pPr>
      <w:r>
        <w:t>griffier                                                        voorzitter</w:t>
      </w:r>
    </w:p>
    <w:p w:rsidR="00BC5D74" w:rsidRPr="00150BF5" w:rsidRDefault="00BC5D74" w:rsidP="00BC5D74"/>
    <w:p w:rsidR="0010730F" w:rsidRDefault="0010730F" w:rsidP="00940CC6">
      <w:pPr>
        <w:ind w:left="720" w:hanging="720"/>
      </w:pPr>
    </w:p>
    <w:p w:rsidR="00940CC6" w:rsidRDefault="00940CC6" w:rsidP="00940CC6">
      <w:pPr>
        <w:ind w:left="720" w:hanging="720"/>
      </w:pPr>
      <w:r>
        <w:t>Bijlage: Overzicht gewenste aanpassingen en aanvullingen op de beslispunten</w:t>
      </w:r>
    </w:p>
    <w:p w:rsidR="00940CC6" w:rsidRDefault="00940CC6">
      <w:pPr>
        <w:spacing w:line="240" w:lineRule="auto"/>
      </w:pPr>
      <w:r>
        <w:br w:type="page"/>
      </w:r>
    </w:p>
    <w:p w:rsidR="00FF234F" w:rsidRPr="00940CC6" w:rsidRDefault="00940CC6" w:rsidP="00940CC6">
      <w:pPr>
        <w:ind w:left="1440" w:hanging="1440"/>
        <w:rPr>
          <w:b/>
        </w:rPr>
      </w:pPr>
      <w:r w:rsidRPr="00940CC6">
        <w:rPr>
          <w:b/>
        </w:rPr>
        <w:t>Bijlage</w:t>
      </w:r>
      <w:r>
        <w:rPr>
          <w:b/>
        </w:rPr>
        <w:t>:</w:t>
      </w:r>
      <w:r>
        <w:rPr>
          <w:b/>
        </w:rPr>
        <w:tab/>
      </w:r>
      <w:r w:rsidRPr="00940CC6">
        <w:rPr>
          <w:b/>
        </w:rPr>
        <w:t>Overzicht gewenste aanpassingen en aanvullingen op de beslispunten</w:t>
      </w:r>
    </w:p>
    <w:p w:rsidR="00940CC6" w:rsidRDefault="00940CC6" w:rsidP="00940CC6">
      <w:pPr>
        <w:ind w:left="720" w:hanging="720"/>
      </w:pPr>
    </w:p>
    <w:tbl>
      <w:tblPr>
        <w:tblStyle w:val="Tabelraster"/>
        <w:tblW w:w="0" w:type="auto"/>
        <w:tblLook w:val="04A0" w:firstRow="1" w:lastRow="0" w:firstColumn="1" w:lastColumn="0" w:noHBand="0" w:noVBand="1"/>
      </w:tblPr>
      <w:tblGrid>
        <w:gridCol w:w="7070"/>
      </w:tblGrid>
      <w:tr w:rsidR="00940CC6" w:rsidTr="00782F80">
        <w:tc>
          <w:tcPr>
            <w:tcW w:w="7360" w:type="dxa"/>
          </w:tcPr>
          <w:p w:rsidR="00940CC6" w:rsidRPr="009F1A3E" w:rsidRDefault="00940CC6" w:rsidP="00782F80">
            <w:pPr>
              <w:rPr>
                <w:rFonts w:cs="Arial"/>
                <w:sz w:val="18"/>
                <w:szCs w:val="18"/>
              </w:rPr>
            </w:pPr>
            <w:r w:rsidRPr="009F1A3E">
              <w:rPr>
                <w:rFonts w:cs="Arial"/>
                <w:sz w:val="18"/>
                <w:szCs w:val="18"/>
              </w:rPr>
              <w:t xml:space="preserve">Wij verzoeken de volgende beslispunten aan te </w:t>
            </w:r>
            <w:r w:rsidR="0010730F" w:rsidRPr="009F1A3E">
              <w:rPr>
                <w:rFonts w:cs="Arial"/>
                <w:sz w:val="18"/>
                <w:szCs w:val="18"/>
              </w:rPr>
              <w:t>passen</w:t>
            </w:r>
            <w:r w:rsidRPr="009F1A3E">
              <w:rPr>
                <w:rFonts w:cs="Arial"/>
                <w:sz w:val="18"/>
                <w:szCs w:val="18"/>
              </w:rPr>
              <w:t xml:space="preserve"> (aanpassingen </w:t>
            </w:r>
            <w:r w:rsidRPr="009F1A3E">
              <w:rPr>
                <w:rFonts w:cs="Arial"/>
                <w:sz w:val="18"/>
                <w:szCs w:val="18"/>
                <w:highlight w:val="yellow"/>
                <w:u w:val="single"/>
              </w:rPr>
              <w:t>onderstreept en geel gearceerd</w:t>
            </w:r>
            <w:r w:rsidRPr="009F1A3E">
              <w:rPr>
                <w:rFonts w:cs="Arial"/>
                <w:sz w:val="18"/>
                <w:szCs w:val="18"/>
              </w:rPr>
              <w:t>):</w:t>
            </w:r>
          </w:p>
          <w:p w:rsidR="00940CC6" w:rsidRPr="009F1A3E" w:rsidRDefault="00940CC6" w:rsidP="00782F80">
            <w:pPr>
              <w:autoSpaceDE w:val="0"/>
              <w:autoSpaceDN w:val="0"/>
              <w:adjustRightInd w:val="0"/>
              <w:spacing w:line="240" w:lineRule="auto"/>
              <w:rPr>
                <w:rFonts w:cs="Arial"/>
                <w:sz w:val="18"/>
                <w:szCs w:val="18"/>
              </w:rPr>
            </w:pPr>
          </w:p>
          <w:p w:rsidR="00940CC6" w:rsidRPr="009F1A3E" w:rsidRDefault="00940CC6" w:rsidP="00782F80">
            <w:pPr>
              <w:autoSpaceDE w:val="0"/>
              <w:autoSpaceDN w:val="0"/>
              <w:adjustRightInd w:val="0"/>
              <w:spacing w:line="240" w:lineRule="auto"/>
              <w:ind w:left="708"/>
              <w:rPr>
                <w:rFonts w:cs="Arial"/>
                <w:sz w:val="18"/>
                <w:szCs w:val="18"/>
              </w:rPr>
            </w:pPr>
            <w:r w:rsidRPr="009F1A3E">
              <w:rPr>
                <w:rFonts w:cs="Arial"/>
                <w:sz w:val="18"/>
                <w:szCs w:val="18"/>
              </w:rPr>
              <w:t>2. De in dit voorstel opgenomen voorgestelde uitgangspunten voor de vernieuwde systematiek Trap op Trap af vast te stellen. Ten behoeve van de vernieuwde systematiek stellen we de volgende nieuwe uitgangspunten voor:</w:t>
            </w:r>
          </w:p>
          <w:p w:rsidR="00940CC6" w:rsidRPr="009F1A3E" w:rsidRDefault="00940CC6" w:rsidP="00782F80">
            <w:pPr>
              <w:autoSpaceDE w:val="0"/>
              <w:autoSpaceDN w:val="0"/>
              <w:adjustRightInd w:val="0"/>
              <w:spacing w:line="240" w:lineRule="auto"/>
              <w:ind w:left="1416" w:hanging="708"/>
              <w:rPr>
                <w:rFonts w:cs="Arial"/>
                <w:sz w:val="18"/>
                <w:szCs w:val="18"/>
              </w:rPr>
            </w:pPr>
            <w:r w:rsidRPr="009F1A3E">
              <w:rPr>
                <w:rFonts w:cs="Arial"/>
                <w:sz w:val="18"/>
                <w:szCs w:val="18"/>
              </w:rPr>
              <w:t>a.</w:t>
            </w:r>
            <w:r w:rsidRPr="009F1A3E">
              <w:rPr>
                <w:rFonts w:cs="Arial"/>
                <w:sz w:val="18"/>
                <w:szCs w:val="18"/>
              </w:rPr>
              <w:tab/>
              <w:t>Het accres wordt naast de generieke ontwikkelingen in de systematiek betrokken door:</w:t>
            </w:r>
          </w:p>
          <w:p w:rsidR="00940CC6" w:rsidRPr="009F1A3E" w:rsidRDefault="00940CC6" w:rsidP="00782F80">
            <w:pPr>
              <w:autoSpaceDE w:val="0"/>
              <w:autoSpaceDN w:val="0"/>
              <w:adjustRightInd w:val="0"/>
              <w:spacing w:line="240" w:lineRule="auto"/>
              <w:ind w:left="708" w:firstLine="708"/>
              <w:rPr>
                <w:rFonts w:cs="Arial"/>
                <w:sz w:val="18"/>
                <w:szCs w:val="18"/>
              </w:rPr>
            </w:pPr>
            <w:r w:rsidRPr="009F1A3E">
              <w:rPr>
                <w:rFonts w:cs="Arial"/>
                <w:sz w:val="18"/>
                <w:szCs w:val="18"/>
              </w:rPr>
              <w:t>i. Uit te gaan van de gewijzigde jaarlijkse tranches</w:t>
            </w:r>
          </w:p>
          <w:p w:rsidR="00940CC6" w:rsidRPr="009F1A3E" w:rsidRDefault="00940CC6" w:rsidP="00782F80">
            <w:pPr>
              <w:autoSpaceDE w:val="0"/>
              <w:autoSpaceDN w:val="0"/>
              <w:adjustRightInd w:val="0"/>
              <w:spacing w:line="240" w:lineRule="auto"/>
              <w:ind w:left="708" w:firstLine="708"/>
              <w:rPr>
                <w:rFonts w:cs="Arial"/>
                <w:sz w:val="18"/>
                <w:szCs w:val="18"/>
              </w:rPr>
            </w:pPr>
            <w:r w:rsidRPr="009F1A3E">
              <w:rPr>
                <w:rFonts w:cs="Arial"/>
                <w:sz w:val="18"/>
                <w:szCs w:val="18"/>
              </w:rPr>
              <w:t>ii. De stand van de meicirculaire 2015 als startpunt te hanteren</w:t>
            </w:r>
          </w:p>
          <w:p w:rsidR="00940CC6" w:rsidRPr="009F1A3E" w:rsidRDefault="00940CC6" w:rsidP="00782F80">
            <w:pPr>
              <w:autoSpaceDE w:val="0"/>
              <w:autoSpaceDN w:val="0"/>
              <w:adjustRightInd w:val="0"/>
              <w:spacing w:line="240" w:lineRule="auto"/>
              <w:ind w:left="1416"/>
              <w:rPr>
                <w:rFonts w:cs="Arial"/>
                <w:sz w:val="18"/>
                <w:szCs w:val="18"/>
                <w:u w:val="single"/>
              </w:rPr>
            </w:pPr>
            <w:r w:rsidRPr="009F1A3E">
              <w:rPr>
                <w:rFonts w:cs="Arial"/>
                <w:sz w:val="18"/>
                <w:szCs w:val="18"/>
              </w:rPr>
              <w:t xml:space="preserve">iii. Uit te gaan van een periode van </w:t>
            </w:r>
            <w:r w:rsidRPr="009F1A3E">
              <w:rPr>
                <w:rFonts w:cs="Arial"/>
                <w:sz w:val="18"/>
                <w:szCs w:val="18"/>
                <w:highlight w:val="yellow"/>
                <w:u w:val="single"/>
              </w:rPr>
              <w:t>de komende</w:t>
            </w:r>
            <w:r w:rsidRPr="009F1A3E">
              <w:rPr>
                <w:rFonts w:cs="Arial"/>
                <w:sz w:val="18"/>
                <w:szCs w:val="18"/>
              </w:rPr>
              <w:t xml:space="preserve"> vier jaar   </w:t>
            </w:r>
            <w:r w:rsidRPr="009F1A3E">
              <w:rPr>
                <w:rFonts w:cs="Arial"/>
                <w:sz w:val="18"/>
                <w:szCs w:val="18"/>
                <w:highlight w:val="yellow"/>
                <w:u w:val="single"/>
              </w:rPr>
              <w:t>(begrotingsjaar en meerjarenperspectief drie opvolgende jaren)</w:t>
            </w:r>
          </w:p>
          <w:p w:rsidR="00940CC6" w:rsidRPr="009F1A3E" w:rsidRDefault="00940CC6" w:rsidP="00782F80">
            <w:pPr>
              <w:autoSpaceDE w:val="0"/>
              <w:autoSpaceDN w:val="0"/>
              <w:adjustRightInd w:val="0"/>
              <w:spacing w:line="240" w:lineRule="auto"/>
              <w:ind w:left="708" w:firstLine="708"/>
              <w:rPr>
                <w:rFonts w:cs="Arial"/>
                <w:sz w:val="18"/>
                <w:szCs w:val="18"/>
              </w:rPr>
            </w:pPr>
            <w:r w:rsidRPr="009F1A3E">
              <w:rPr>
                <w:rFonts w:cs="Arial"/>
                <w:sz w:val="18"/>
                <w:szCs w:val="18"/>
              </w:rPr>
              <w:t>iv. Hierbij de cumulatieve ontwikkeling te hanteren</w:t>
            </w:r>
          </w:p>
          <w:p w:rsidR="00940CC6" w:rsidRPr="009F1A3E" w:rsidRDefault="00940CC6" w:rsidP="00782F80">
            <w:pPr>
              <w:ind w:left="1416"/>
              <w:rPr>
                <w:rFonts w:cs="Arial"/>
                <w:sz w:val="18"/>
                <w:szCs w:val="18"/>
              </w:rPr>
            </w:pPr>
            <w:r w:rsidRPr="009F1A3E">
              <w:rPr>
                <w:rFonts w:cs="Arial"/>
                <w:sz w:val="18"/>
                <w:szCs w:val="18"/>
              </w:rPr>
              <w:t xml:space="preserve">v. </w:t>
            </w:r>
            <w:r w:rsidRPr="009F1A3E">
              <w:rPr>
                <w:rFonts w:cs="Arial"/>
                <w:sz w:val="18"/>
                <w:szCs w:val="18"/>
                <w:highlight w:val="yellow"/>
                <w:u w:val="single"/>
              </w:rPr>
              <w:t>De GRD deelt via het accres mee in de compensatie voor loon- en prijsontwikkelingen. Dat betekent dat de GRD hogere kosten naar aanleiding van</w:t>
            </w:r>
            <w:r w:rsidRPr="009F1A3E">
              <w:rPr>
                <w:rFonts w:cs="Arial"/>
                <w:sz w:val="18"/>
                <w:szCs w:val="18"/>
              </w:rPr>
              <w:t xml:space="preserve"> de toegepaste loon- en prijscompensatie </w:t>
            </w:r>
            <w:r w:rsidRPr="009F1A3E">
              <w:rPr>
                <w:rFonts w:cs="Arial"/>
                <w:sz w:val="18"/>
                <w:szCs w:val="18"/>
                <w:highlight w:val="yellow"/>
                <w:u w:val="single"/>
              </w:rPr>
              <w:t>zelf dient op te vangen</w:t>
            </w:r>
            <w:r w:rsidRPr="009F1A3E">
              <w:rPr>
                <w:rFonts w:cs="Arial"/>
                <w:sz w:val="18"/>
                <w:szCs w:val="18"/>
              </w:rPr>
              <w:t xml:space="preserve"> </w:t>
            </w:r>
          </w:p>
          <w:p w:rsidR="00940CC6" w:rsidRPr="009F1A3E" w:rsidRDefault="00940CC6" w:rsidP="00782F80">
            <w:pPr>
              <w:rPr>
                <w:rFonts w:cs="Arial"/>
                <w:sz w:val="18"/>
                <w:szCs w:val="18"/>
              </w:rPr>
            </w:pPr>
          </w:p>
          <w:p w:rsidR="00940CC6" w:rsidRPr="009F1A3E" w:rsidRDefault="00940CC6" w:rsidP="00782F80">
            <w:pPr>
              <w:autoSpaceDE w:val="0"/>
              <w:autoSpaceDN w:val="0"/>
              <w:adjustRightInd w:val="0"/>
              <w:spacing w:line="240" w:lineRule="auto"/>
              <w:ind w:left="1416" w:hanging="708"/>
              <w:rPr>
                <w:rFonts w:cs="Arial"/>
                <w:sz w:val="18"/>
                <w:szCs w:val="18"/>
                <w:highlight w:val="yellow"/>
                <w:u w:val="single"/>
              </w:rPr>
            </w:pPr>
            <w:r w:rsidRPr="009F1A3E">
              <w:rPr>
                <w:rFonts w:cs="Arial"/>
                <w:sz w:val="18"/>
                <w:szCs w:val="18"/>
              </w:rPr>
              <w:t xml:space="preserve">c. </w:t>
            </w:r>
            <w:r w:rsidRPr="009F1A3E">
              <w:rPr>
                <w:rFonts w:cs="Arial"/>
                <w:sz w:val="18"/>
                <w:szCs w:val="18"/>
              </w:rPr>
              <w:tab/>
              <w:t>De berekening wordt hierbij gebaseerd op de septembercirculaire (T), waarbij de uitkomst wordt betrokken in de primaire begroting T+2. Bij de primaire begroting wordt tevens zoveel als mogelijk inzicht gegeven in de richtingen waarbinnen bezuinigings- of intensiveringsvoorstellen kunnen plaatsvinden</w:t>
            </w:r>
            <w:r w:rsidRPr="009F1A3E">
              <w:rPr>
                <w:rFonts w:cs="Arial"/>
                <w:sz w:val="18"/>
                <w:szCs w:val="18"/>
                <w:highlight w:val="yellow"/>
                <w:u w:val="single"/>
              </w:rPr>
              <w:t>, door:</w:t>
            </w:r>
          </w:p>
          <w:p w:rsidR="00940CC6" w:rsidRPr="009F1A3E" w:rsidRDefault="00940CC6" w:rsidP="00940CC6">
            <w:pPr>
              <w:pStyle w:val="Lijstalinea"/>
              <w:numPr>
                <w:ilvl w:val="0"/>
                <w:numId w:val="5"/>
              </w:numPr>
              <w:autoSpaceDE w:val="0"/>
              <w:autoSpaceDN w:val="0"/>
              <w:adjustRightInd w:val="0"/>
              <w:spacing w:after="160" w:line="240" w:lineRule="auto"/>
              <w:rPr>
                <w:rFonts w:cs="Arial"/>
                <w:sz w:val="18"/>
                <w:szCs w:val="18"/>
                <w:highlight w:val="yellow"/>
                <w:u w:val="single"/>
              </w:rPr>
            </w:pPr>
            <w:r w:rsidRPr="009F1A3E">
              <w:rPr>
                <w:rFonts w:cs="Arial"/>
                <w:sz w:val="18"/>
                <w:szCs w:val="18"/>
                <w:highlight w:val="yellow"/>
                <w:u w:val="single"/>
              </w:rPr>
              <w:t>In de primaire begroting de taakstelling volledig te verwerken in de bijdrage tabel van de gemeenten;</w:t>
            </w:r>
          </w:p>
          <w:p w:rsidR="00940CC6" w:rsidRPr="009F1A3E" w:rsidRDefault="00940CC6" w:rsidP="00940CC6">
            <w:pPr>
              <w:pStyle w:val="Lijstalinea"/>
              <w:numPr>
                <w:ilvl w:val="0"/>
                <w:numId w:val="5"/>
              </w:numPr>
              <w:autoSpaceDE w:val="0"/>
              <w:autoSpaceDN w:val="0"/>
              <w:adjustRightInd w:val="0"/>
              <w:spacing w:after="160" w:line="240" w:lineRule="auto"/>
              <w:rPr>
                <w:rFonts w:cs="Arial"/>
                <w:sz w:val="18"/>
                <w:szCs w:val="18"/>
                <w:highlight w:val="yellow"/>
                <w:u w:val="single"/>
              </w:rPr>
            </w:pPr>
            <w:r w:rsidRPr="009F1A3E">
              <w:rPr>
                <w:rFonts w:cs="Arial"/>
                <w:sz w:val="18"/>
                <w:szCs w:val="18"/>
                <w:highlight w:val="yellow"/>
                <w:u w:val="single"/>
              </w:rPr>
              <w:t>In de primaire begroting de zoekrichting per domein te duiden met concreet te treffen maatregelen (WAT), waarbij de voorstellen richting geactualiseerde begroting definitief en verder kunnen worden uitgewerkt (HOE). Wij gaan er hierbij vanuit dat bij toepassing van de nieuwe systematiek de taakstelling volledig is ingevuld bij het vaststellen van de geactualiseerde begroting.</w:t>
            </w:r>
          </w:p>
          <w:p w:rsidR="00940CC6" w:rsidRPr="009F1A3E" w:rsidRDefault="00940CC6" w:rsidP="00782F80">
            <w:pPr>
              <w:rPr>
                <w:rFonts w:cs="Arial"/>
                <w:sz w:val="18"/>
                <w:szCs w:val="18"/>
              </w:rPr>
            </w:pPr>
            <w:r w:rsidRPr="009F1A3E">
              <w:rPr>
                <w:rFonts w:cs="Arial"/>
                <w:sz w:val="18"/>
                <w:szCs w:val="18"/>
              </w:rPr>
              <w:t xml:space="preserve">Wij </w:t>
            </w:r>
            <w:r w:rsidR="0010730F" w:rsidRPr="009F1A3E">
              <w:rPr>
                <w:rFonts w:cs="Arial"/>
                <w:sz w:val="18"/>
                <w:szCs w:val="18"/>
              </w:rPr>
              <w:t>verzoeken</w:t>
            </w:r>
            <w:r w:rsidRPr="009F1A3E">
              <w:rPr>
                <w:rFonts w:cs="Arial"/>
                <w:sz w:val="18"/>
                <w:szCs w:val="18"/>
              </w:rPr>
              <w:t xml:space="preserve"> aanvullend </w:t>
            </w:r>
            <w:r w:rsidR="0010730F" w:rsidRPr="009F1A3E">
              <w:rPr>
                <w:rFonts w:cs="Arial"/>
                <w:sz w:val="18"/>
                <w:szCs w:val="18"/>
              </w:rPr>
              <w:t>de</w:t>
            </w:r>
            <w:r w:rsidRPr="009F1A3E">
              <w:rPr>
                <w:rFonts w:cs="Arial"/>
                <w:sz w:val="18"/>
                <w:szCs w:val="18"/>
              </w:rPr>
              <w:t xml:space="preserve"> volgende beslispunt</w:t>
            </w:r>
            <w:r w:rsidR="0010730F" w:rsidRPr="009F1A3E">
              <w:rPr>
                <w:rFonts w:cs="Arial"/>
                <w:sz w:val="18"/>
                <w:szCs w:val="18"/>
              </w:rPr>
              <w:t>en</w:t>
            </w:r>
            <w:r w:rsidRPr="009F1A3E">
              <w:rPr>
                <w:rFonts w:cs="Arial"/>
                <w:sz w:val="18"/>
                <w:szCs w:val="18"/>
              </w:rPr>
              <w:t xml:space="preserve"> op te nemen:</w:t>
            </w:r>
          </w:p>
          <w:p w:rsidR="00940CC6" w:rsidRPr="009F1A3E" w:rsidRDefault="00940CC6" w:rsidP="00940CC6">
            <w:pPr>
              <w:pStyle w:val="Lijstalinea"/>
              <w:numPr>
                <w:ilvl w:val="0"/>
                <w:numId w:val="4"/>
              </w:numPr>
              <w:spacing w:after="160" w:line="259" w:lineRule="auto"/>
              <w:rPr>
                <w:rFonts w:cs="Arial"/>
                <w:sz w:val="18"/>
                <w:szCs w:val="18"/>
                <w:lang w:eastAsia="nl-NL"/>
              </w:rPr>
            </w:pPr>
            <w:r w:rsidRPr="009F1A3E">
              <w:rPr>
                <w:rFonts w:cs="Arial"/>
                <w:sz w:val="18"/>
                <w:szCs w:val="18"/>
                <w:lang w:eastAsia="nl-NL"/>
              </w:rPr>
              <w:t>Gemeenten geven in een situatie van Trap op in de kaders voor de begroting (in september/oktober) de omvang van de financiële ruimte voor intensiveringsvoorstellen aan. Bij vaststelling van de primaire begroting wordt de bijdrage aan de GRD verhoogd tot maximaal de aangegeven financiële ruimte, maar slechts voor zover er intensiveringsvoorstellen in de primaire begroting worden vastgesteld. De resterende ruimte blijft lokaal beschikbaar voor de gemeenten.</w:t>
            </w:r>
          </w:p>
          <w:p w:rsidR="00940CC6" w:rsidRPr="009F1A3E" w:rsidRDefault="00940CC6" w:rsidP="00940CC6">
            <w:pPr>
              <w:pStyle w:val="Lijstalinea"/>
              <w:numPr>
                <w:ilvl w:val="0"/>
                <w:numId w:val="4"/>
              </w:numPr>
              <w:spacing w:after="160" w:line="259" w:lineRule="auto"/>
              <w:rPr>
                <w:rFonts w:cs="Arial"/>
                <w:szCs w:val="20"/>
                <w:lang w:eastAsia="nl-NL"/>
              </w:rPr>
            </w:pPr>
            <w:r w:rsidRPr="009F1A3E">
              <w:rPr>
                <w:rFonts w:cs="Arial"/>
                <w:sz w:val="18"/>
                <w:szCs w:val="18"/>
              </w:rPr>
              <w:t>Bezuinigingen, waarbij sprake is van frictiekosten, tellen voor de invulling van de taakstelling pas mee na de terugverdienperiode van deze frictiekosten. Het voordeel tijdens de terugverdienperiode dient ter dekking van deze frictiekosten.</w:t>
            </w:r>
          </w:p>
        </w:tc>
      </w:tr>
    </w:tbl>
    <w:p w:rsidR="00940CC6" w:rsidRPr="00150BF5" w:rsidRDefault="00940CC6" w:rsidP="0010730F"/>
    <w:sectPr w:rsidR="00940CC6" w:rsidRPr="00150BF5"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5B" w:rsidRDefault="00AE735B">
      <w:r>
        <w:separator/>
      </w:r>
    </w:p>
  </w:endnote>
  <w:endnote w:type="continuationSeparator" w:id="0">
    <w:p w:rsidR="00AE735B" w:rsidRDefault="00A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5B" w:rsidRDefault="00AE735B">
      <w:r>
        <w:separator/>
      </w:r>
    </w:p>
  </w:footnote>
  <w:footnote w:type="continuationSeparator" w:id="0">
    <w:p w:rsidR="00AE735B" w:rsidRDefault="00AE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208"/>
    <w:multiLevelType w:val="hybridMultilevel"/>
    <w:tmpl w:val="05B2D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306A64"/>
    <w:multiLevelType w:val="hybridMultilevel"/>
    <w:tmpl w:val="888A8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B67408"/>
    <w:multiLevelType w:val="hybridMultilevel"/>
    <w:tmpl w:val="567679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6B027926"/>
    <w:multiLevelType w:val="hybridMultilevel"/>
    <w:tmpl w:val="08920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AC5C70"/>
    <w:multiLevelType w:val="hybridMultilevel"/>
    <w:tmpl w:val="141E1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F5"/>
    <w:rsid w:val="00030DB3"/>
    <w:rsid w:val="000441DB"/>
    <w:rsid w:val="00067C2C"/>
    <w:rsid w:val="00106F53"/>
    <w:rsid w:val="0010730F"/>
    <w:rsid w:val="001233C1"/>
    <w:rsid w:val="00150BF5"/>
    <w:rsid w:val="001515D9"/>
    <w:rsid w:val="001C7B6C"/>
    <w:rsid w:val="001F5D39"/>
    <w:rsid w:val="002341A6"/>
    <w:rsid w:val="0023786F"/>
    <w:rsid w:val="0028171D"/>
    <w:rsid w:val="00311643"/>
    <w:rsid w:val="003340BF"/>
    <w:rsid w:val="00342F84"/>
    <w:rsid w:val="003D65DD"/>
    <w:rsid w:val="00426AAF"/>
    <w:rsid w:val="00444F60"/>
    <w:rsid w:val="004941D8"/>
    <w:rsid w:val="004A5880"/>
    <w:rsid w:val="004C725C"/>
    <w:rsid w:val="004E1481"/>
    <w:rsid w:val="005C6C1A"/>
    <w:rsid w:val="005E6CB0"/>
    <w:rsid w:val="00614756"/>
    <w:rsid w:val="0062324E"/>
    <w:rsid w:val="00640895"/>
    <w:rsid w:val="006673A3"/>
    <w:rsid w:val="00685F81"/>
    <w:rsid w:val="006D1FCB"/>
    <w:rsid w:val="006E74CA"/>
    <w:rsid w:val="00705662"/>
    <w:rsid w:val="00767080"/>
    <w:rsid w:val="008468AF"/>
    <w:rsid w:val="008730F5"/>
    <w:rsid w:val="00880D7A"/>
    <w:rsid w:val="008B7734"/>
    <w:rsid w:val="00940CC6"/>
    <w:rsid w:val="00954761"/>
    <w:rsid w:val="0095575E"/>
    <w:rsid w:val="009F1A3E"/>
    <w:rsid w:val="009F4388"/>
    <w:rsid w:val="009F535E"/>
    <w:rsid w:val="00A23756"/>
    <w:rsid w:val="00A63E61"/>
    <w:rsid w:val="00A75527"/>
    <w:rsid w:val="00A75C86"/>
    <w:rsid w:val="00A84F80"/>
    <w:rsid w:val="00AC7B5E"/>
    <w:rsid w:val="00AE735B"/>
    <w:rsid w:val="00B41664"/>
    <w:rsid w:val="00BA7AED"/>
    <w:rsid w:val="00BC5D74"/>
    <w:rsid w:val="00BE7F36"/>
    <w:rsid w:val="00BF6C74"/>
    <w:rsid w:val="00C04A3B"/>
    <w:rsid w:val="00C569B8"/>
    <w:rsid w:val="00CC098B"/>
    <w:rsid w:val="00CD25C1"/>
    <w:rsid w:val="00CE7D84"/>
    <w:rsid w:val="00CF2E79"/>
    <w:rsid w:val="00D34D67"/>
    <w:rsid w:val="00D440F2"/>
    <w:rsid w:val="00D53CA0"/>
    <w:rsid w:val="00D70E3A"/>
    <w:rsid w:val="00DF7C50"/>
    <w:rsid w:val="00E1662F"/>
    <w:rsid w:val="00E466C2"/>
    <w:rsid w:val="00E54002"/>
    <w:rsid w:val="00E73B69"/>
    <w:rsid w:val="00EA1992"/>
    <w:rsid w:val="00F36049"/>
    <w:rsid w:val="00F40A30"/>
    <w:rsid w:val="00F40E94"/>
    <w:rsid w:val="00F866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03AE3BF8-1011-414A-B37A-8C2F987C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CF2E79"/>
    <w:pPr>
      <w:ind w:left="720"/>
      <w:contextualSpacing/>
    </w:pPr>
  </w:style>
  <w:style w:type="table" w:styleId="Tabelraster">
    <w:name w:val="Table Grid"/>
    <w:basedOn w:val="Standaardtabel"/>
    <w:rsid w:val="00940CC6"/>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11</TotalTime>
  <Pages>1</Pages>
  <Words>1231</Words>
  <Characters>6773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Graaf, D vander</dc:creator>
  <cp:keywords/>
  <cp:lastModifiedBy>Graaf, D vander</cp:lastModifiedBy>
  <cp:revision>3</cp:revision>
  <cp:lastPrinted>2007-07-30T09:43:00Z</cp:lastPrinted>
  <dcterms:created xsi:type="dcterms:W3CDTF">2016-03-25T15:02:00Z</dcterms:created>
  <dcterms:modified xsi:type="dcterms:W3CDTF">2016-03-25T15:14:00Z</dcterms:modified>
</cp:coreProperties>
</file>