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4219" w14:textId="7C7EDB73" w:rsidR="00CA2F85" w:rsidRDefault="008C07C9" w:rsidP="000B204F">
      <w:pPr>
        <w:rPr>
          <w:b/>
        </w:rPr>
      </w:pPr>
      <w:r>
        <w:rPr>
          <w:b/>
        </w:rPr>
        <w:t>Behorend bij bijlage 2</w:t>
      </w:r>
      <w:r w:rsidR="00A2070F">
        <w:rPr>
          <w:b/>
        </w:rPr>
        <w:t>b</w:t>
      </w:r>
      <w:r>
        <w:rPr>
          <w:b/>
        </w:rPr>
        <w:t xml:space="preserve"> PALT</w:t>
      </w:r>
    </w:p>
    <w:p w14:paraId="61A98096" w14:textId="77777777" w:rsidR="008C07C9" w:rsidRDefault="008C07C9" w:rsidP="000B204F">
      <w:pPr>
        <w:rPr>
          <w:b/>
        </w:rPr>
      </w:pPr>
    </w:p>
    <w:p w14:paraId="1EA985D0" w14:textId="75E8300F" w:rsidR="008D160B" w:rsidRPr="008C07C9" w:rsidRDefault="008C07C9" w:rsidP="000B204F">
      <w:pPr>
        <w:rPr>
          <w:b/>
          <w:sz w:val="28"/>
          <w:szCs w:val="28"/>
        </w:rPr>
      </w:pPr>
      <w:r w:rsidRPr="008C07C9">
        <w:rPr>
          <w:b/>
          <w:sz w:val="28"/>
          <w:szCs w:val="28"/>
        </w:rPr>
        <w:t xml:space="preserve">Lokale uitwerking </w:t>
      </w:r>
      <w:proofErr w:type="spellStart"/>
      <w:r w:rsidR="008D160B" w:rsidRPr="008C07C9">
        <w:rPr>
          <w:b/>
          <w:sz w:val="28"/>
          <w:szCs w:val="28"/>
        </w:rPr>
        <w:t>Palt</w:t>
      </w:r>
      <w:proofErr w:type="spellEnd"/>
      <w:r w:rsidR="008D160B" w:rsidRPr="008C07C9">
        <w:rPr>
          <w:b/>
          <w:sz w:val="28"/>
          <w:szCs w:val="28"/>
        </w:rPr>
        <w:t xml:space="preserve"> deel III Alblasserdam</w:t>
      </w:r>
      <w:r w:rsidR="001705D9">
        <w:rPr>
          <w:b/>
          <w:sz w:val="28"/>
          <w:szCs w:val="28"/>
        </w:rPr>
        <w:t xml:space="preserve"> </w:t>
      </w:r>
    </w:p>
    <w:p w14:paraId="687F3009" w14:textId="77777777" w:rsidR="008D160B" w:rsidRPr="008D160B" w:rsidRDefault="008D160B" w:rsidP="000B204F">
      <w:pPr>
        <w:rPr>
          <w:b/>
        </w:rPr>
      </w:pPr>
    </w:p>
    <w:p w14:paraId="4ED07E26" w14:textId="77777777" w:rsidR="009D69EF" w:rsidRPr="008D160B" w:rsidRDefault="009D69EF" w:rsidP="00FA1395">
      <w:pPr>
        <w:rPr>
          <w:b/>
        </w:rPr>
      </w:pPr>
    </w:p>
    <w:p w14:paraId="519EA6BA" w14:textId="77777777" w:rsidR="00186C80" w:rsidRDefault="00186C80" w:rsidP="009D69EF">
      <w:pPr>
        <w:rPr>
          <w:b/>
        </w:rPr>
      </w:pPr>
      <w:r w:rsidRPr="008D160B">
        <w:rPr>
          <w:b/>
        </w:rPr>
        <w:t>Ontwikkeling sociale woningvoorraad Alblasserdam</w:t>
      </w:r>
    </w:p>
    <w:p w14:paraId="4E6EFBDF" w14:textId="77777777" w:rsidR="0031228A" w:rsidRPr="008D160B" w:rsidRDefault="0031228A" w:rsidP="00FA1395">
      <w:pPr>
        <w:rPr>
          <w:b/>
        </w:rPr>
      </w:pPr>
    </w:p>
    <w:p w14:paraId="12C16CBC" w14:textId="00414DEC" w:rsidR="004E56AA" w:rsidRDefault="00FA1395" w:rsidP="00D80594">
      <w:pPr>
        <w:ind w:firstLine="708"/>
      </w:pPr>
      <w:r>
        <w:t xml:space="preserve">PALT </w:t>
      </w:r>
      <w:r w:rsidR="001705D9">
        <w:t xml:space="preserve">2016-2025 </w:t>
      </w:r>
      <w:r w:rsidR="002C0E62">
        <w:t>(Prestatieafspraken Lange Termijn</w:t>
      </w:r>
      <w:r w:rsidR="001705D9">
        <w:t xml:space="preserve">) </w:t>
      </w:r>
      <w:r>
        <w:t xml:space="preserve">bestaat uit 3 delen. </w:t>
      </w:r>
    </w:p>
    <w:p w14:paraId="21753028" w14:textId="59F5B191" w:rsidR="00FA1395" w:rsidRDefault="00680247" w:rsidP="001705D9">
      <w:pPr>
        <w:ind w:left="708"/>
      </w:pPr>
      <w:r>
        <w:t>D</w:t>
      </w:r>
      <w:r w:rsidR="008954BE">
        <w:t>eel</w:t>
      </w:r>
      <w:r>
        <w:t xml:space="preserve"> I</w:t>
      </w:r>
      <w:r w:rsidR="00FA1395">
        <w:t xml:space="preserve"> geeft de regionale doelstelling</w:t>
      </w:r>
      <w:r w:rsidR="00310A8A">
        <w:t xml:space="preserve"> weer. </w:t>
      </w:r>
      <w:r w:rsidR="00FA1395">
        <w:t>Waar werken we gezamenlijk aan</w:t>
      </w:r>
      <w:r w:rsidR="00A14B00">
        <w:t>.</w:t>
      </w:r>
      <w:r w:rsidR="001705D9">
        <w:t xml:space="preserve"> </w:t>
      </w:r>
    </w:p>
    <w:p w14:paraId="27C5296D" w14:textId="30BE2F2B" w:rsidR="00FA1395" w:rsidRDefault="00FA1395" w:rsidP="00D80594">
      <w:pPr>
        <w:ind w:firstLine="708"/>
      </w:pPr>
      <w:r>
        <w:t>In deel II zijn de regionale afspraken</w:t>
      </w:r>
      <w:r w:rsidR="00680247">
        <w:t xml:space="preserve"> </w:t>
      </w:r>
      <w:r w:rsidR="001705D9">
        <w:t>met de corporaties weergegeven.</w:t>
      </w:r>
      <w:r>
        <w:t xml:space="preserve"> </w:t>
      </w:r>
    </w:p>
    <w:p w14:paraId="51D30B98" w14:textId="4A82673A" w:rsidR="00CB12C1" w:rsidRDefault="00FA1395" w:rsidP="0031228A">
      <w:pPr>
        <w:ind w:left="708"/>
      </w:pPr>
      <w:r>
        <w:t xml:space="preserve">Deel III bevat de lokale invulling. </w:t>
      </w:r>
      <w:r w:rsidR="00286D23">
        <w:t>Vanwege de nieuwe Woningwet 2015 is het dit jaar voor het</w:t>
      </w:r>
      <w:r w:rsidR="0073195E">
        <w:t xml:space="preserve"> eerst dat een bod van Woonkracht10 op deze manier geconcretiseerd wordt. </w:t>
      </w:r>
      <w:r>
        <w:t xml:space="preserve">Alles wat corporaties en gemeenten </w:t>
      </w:r>
      <w:r w:rsidR="00BF1615">
        <w:t xml:space="preserve">en de huurdersraden </w:t>
      </w:r>
      <w:r>
        <w:t xml:space="preserve">lokaal nog </w:t>
      </w:r>
      <w:r w:rsidR="00680247">
        <w:t xml:space="preserve">aanvullend </w:t>
      </w:r>
      <w:r>
        <w:t>willen afspreken</w:t>
      </w:r>
      <w:r w:rsidR="00195A9E">
        <w:t>, is</w:t>
      </w:r>
      <w:r>
        <w:t xml:space="preserve"> in dit deel opgenomen</w:t>
      </w:r>
      <w:r w:rsidR="00680247">
        <w:t>.</w:t>
      </w:r>
      <w:r>
        <w:t xml:space="preserve"> Daarnaast wordt lokaal invulling gegeven aan</w:t>
      </w:r>
      <w:r w:rsidRPr="00FA1395">
        <w:t xml:space="preserve"> </w:t>
      </w:r>
      <w:r>
        <w:t xml:space="preserve">de regionaal afgesproken gewenste ontwikkelrichting van de sociale voorraad: (waar, hoeveel, wanneer). </w:t>
      </w:r>
      <w:r w:rsidR="00680247">
        <w:t>Daarmee is deel III maatwerk.</w:t>
      </w:r>
      <w:r w:rsidR="001705D9">
        <w:t xml:space="preserve"> Deel III heeft geldt tot en met 2020. Er vindt jaarlijks een actualisatie plaats</w:t>
      </w:r>
      <w:bookmarkStart w:id="0" w:name="_GoBack"/>
      <w:bookmarkEnd w:id="0"/>
      <w:r w:rsidR="001705D9">
        <w:t>.</w:t>
      </w:r>
    </w:p>
    <w:p w14:paraId="2870AD9F" w14:textId="77777777" w:rsidR="00FA1395" w:rsidRDefault="00FA1395" w:rsidP="00FA1395"/>
    <w:p w14:paraId="05C179B8" w14:textId="77777777" w:rsidR="00CA2F85" w:rsidRDefault="00CA2F85" w:rsidP="00B85824">
      <w:pPr>
        <w:rPr>
          <w:b/>
        </w:rPr>
      </w:pPr>
      <w:r w:rsidRPr="00B85824">
        <w:rPr>
          <w:b/>
        </w:rPr>
        <w:t>L</w:t>
      </w:r>
      <w:r w:rsidR="00FA1395" w:rsidRPr="00B85824">
        <w:rPr>
          <w:b/>
        </w:rPr>
        <w:t>oka</w:t>
      </w:r>
      <w:r w:rsidRPr="00B85824">
        <w:rPr>
          <w:b/>
        </w:rPr>
        <w:t>l</w:t>
      </w:r>
      <w:r w:rsidR="00FA1395" w:rsidRPr="00B85824">
        <w:rPr>
          <w:b/>
        </w:rPr>
        <w:t>e</w:t>
      </w:r>
      <w:r w:rsidRPr="00B85824">
        <w:rPr>
          <w:b/>
        </w:rPr>
        <w:t xml:space="preserve"> invulling ontwikkelrichting van de sociale voorraad: (waar, hoeveel, wanneer)</w:t>
      </w:r>
    </w:p>
    <w:p w14:paraId="6A6729DC" w14:textId="77777777" w:rsidR="00B85824" w:rsidRPr="00B85824" w:rsidRDefault="00B85824" w:rsidP="00B85824">
      <w:pPr>
        <w:rPr>
          <w:b/>
        </w:rPr>
      </w:pPr>
    </w:p>
    <w:p w14:paraId="12BDC899" w14:textId="77777777" w:rsidR="002E681B" w:rsidRDefault="002E681B" w:rsidP="00A14B00">
      <w:pPr>
        <w:pStyle w:val="Lijstalinea"/>
      </w:pPr>
      <w:r>
        <w:t>Volgens P</w:t>
      </w:r>
      <w:r w:rsidR="00680247">
        <w:t>ALT</w:t>
      </w:r>
      <w:r>
        <w:t xml:space="preserve"> </w:t>
      </w:r>
      <w:r w:rsidR="00A14B00">
        <w:t xml:space="preserve">2016-2025 </w:t>
      </w:r>
      <w:r>
        <w:t xml:space="preserve">kan de </w:t>
      </w:r>
      <w:r w:rsidR="00680247">
        <w:t xml:space="preserve">lokale </w:t>
      </w:r>
      <w:r>
        <w:t xml:space="preserve">voorraad </w:t>
      </w:r>
      <w:r w:rsidR="00537E16">
        <w:t xml:space="preserve">in Alblasserdam met </w:t>
      </w:r>
      <w:r>
        <w:t>200 sociale huurwoningen afnemen</w:t>
      </w:r>
      <w:r w:rsidR="00DD7DA6" w:rsidRPr="002809CB">
        <w:t xml:space="preserve">. Afname is mogelijk door sloop, verkoop of liberalisering  van huurwoningen. </w:t>
      </w:r>
      <w:r w:rsidR="00A14B00">
        <w:t xml:space="preserve">Een uitgangspunt voor huurders, </w:t>
      </w:r>
      <w:r w:rsidR="00B85824">
        <w:t>Woonkracht10</w:t>
      </w:r>
      <w:r w:rsidR="00A14B00">
        <w:t xml:space="preserve"> en de gemeente Alblasserdam hierbi</w:t>
      </w:r>
      <w:r w:rsidR="002809CB">
        <w:t>j</w:t>
      </w:r>
      <w:r w:rsidR="00A14B00">
        <w:t xml:space="preserve"> is dat de sociale woningvoorraad van Alblasserdam groot genoeg is en blijft om lage inkomens te huisvesten. Uit de vergelijking van de doelgroep met </w:t>
      </w:r>
      <w:r w:rsidR="002F13FC">
        <w:t>de hoeveelheid</w:t>
      </w:r>
      <w:r w:rsidR="00A14B00">
        <w:t xml:space="preserve"> sociale </w:t>
      </w:r>
      <w:r w:rsidR="002F13FC">
        <w:t>woningen</w:t>
      </w:r>
      <w:r w:rsidR="00A14B00">
        <w:t xml:space="preserve"> en de informatie over wachtlijsten blijkt dat de voorraad momenteel te ruim is ten opzichte van de doelgroep. Daarbij is tevens rekening gehouden met de omvang van de particuliere huursector. </w:t>
      </w:r>
    </w:p>
    <w:p w14:paraId="15C549BC" w14:textId="77777777" w:rsidR="00D80594" w:rsidRDefault="00D80594" w:rsidP="00A14B00">
      <w:pPr>
        <w:pStyle w:val="Lijstalinea"/>
      </w:pPr>
    </w:p>
    <w:p w14:paraId="4CAA74F5" w14:textId="77777777" w:rsidR="00A14B00" w:rsidRPr="00A14B00" w:rsidRDefault="00A14B00" w:rsidP="00A14B00">
      <w:pPr>
        <w:pStyle w:val="Lijstalinea"/>
      </w:pPr>
      <w:r>
        <w:t xml:space="preserve">Verkoop van corporatiewoningen draagt bij aan de investeringsmogelijkheden van Woonkracht10, om </w:t>
      </w:r>
      <w:r w:rsidR="002809CB">
        <w:t>zodoende</w:t>
      </w:r>
      <w:r>
        <w:t xml:space="preserve"> investeringen in duurzaamheid en kwaliteit te kunnen doen. Daarnaast biedt dit mogelijkheden voor middeninkomens die niet meer in sociale huurwoningen terecht kunnen. De in hoofdstuk 2 </w:t>
      </w:r>
      <w:r w:rsidR="002F13FC">
        <w:t xml:space="preserve">(van deel II) </w:t>
      </w:r>
      <w:r>
        <w:t xml:space="preserve">afgesproken afname geeft richting aan de ontwikkeling van de voorraad. Twee keer per jaar worden de beschikbaarheidscijfers (omvang doelgroep versus voorraad en de informatie van Woonkeus) in het regionale, bestuurlijke </w:t>
      </w:r>
      <w:proofErr w:type="spellStart"/>
      <w:r>
        <w:t>Palt</w:t>
      </w:r>
      <w:proofErr w:type="spellEnd"/>
      <w:r>
        <w:t xml:space="preserve"> overleg besproken. Jaarlijks wordt aan de hand </w:t>
      </w:r>
      <w:r w:rsidR="009362AA">
        <w:t>van deze monitoring en het bod van de corporaties de sloop en nieuwbouwplannen voor het volgende jaar afgesproken. Daarnaast wordt een doorkijk gegeven naar de jaren daarna. Concreet betekent dit dat alleen de plannen voor 2016 hard zijn en de plannen voor de jaren daarna nog kunnen – en zullen- wijzigen.</w:t>
      </w:r>
    </w:p>
    <w:p w14:paraId="4255B5AB" w14:textId="77777777" w:rsidR="009362AA" w:rsidRDefault="009362AA" w:rsidP="002809CB"/>
    <w:p w14:paraId="6D2732B7" w14:textId="77777777" w:rsidR="00CA2F85" w:rsidRDefault="00CA2F85" w:rsidP="00CA2F85">
      <w:pPr>
        <w:pStyle w:val="Lijstalinea"/>
        <w:numPr>
          <w:ilvl w:val="1"/>
          <w:numId w:val="4"/>
        </w:numPr>
      </w:pPr>
      <w:r>
        <w:t xml:space="preserve">Sloop </w:t>
      </w:r>
    </w:p>
    <w:p w14:paraId="13D18F45" w14:textId="6390FDA7" w:rsidR="002E681B" w:rsidRDefault="002E681B" w:rsidP="002E681B">
      <w:pPr>
        <w:ind w:left="1416"/>
      </w:pPr>
      <w:r>
        <w:t xml:space="preserve">Woonkracht10 is terughoudend met sloop, omdat dit een dure oplossing is. </w:t>
      </w:r>
      <w:r w:rsidR="002809CB">
        <w:t>Vooralsnog zijn er geen sloopplannen bekend bij Woonkracht10.</w:t>
      </w:r>
    </w:p>
    <w:p w14:paraId="6971F60C" w14:textId="77777777" w:rsidR="002E681B" w:rsidRDefault="002E681B" w:rsidP="002E681B">
      <w:pPr>
        <w:ind w:left="1416"/>
      </w:pPr>
    </w:p>
    <w:p w14:paraId="53F91C1A" w14:textId="77777777" w:rsidR="00CA2F85" w:rsidRDefault="00CA2F85" w:rsidP="00CA2F85">
      <w:pPr>
        <w:pStyle w:val="Lijstalinea"/>
        <w:numPr>
          <w:ilvl w:val="1"/>
          <w:numId w:val="4"/>
        </w:numPr>
      </w:pPr>
      <w:r>
        <w:t>Nieuwbouw</w:t>
      </w:r>
      <w:r w:rsidR="00FC4B03">
        <w:t xml:space="preserve"> en woningverbetering</w:t>
      </w:r>
    </w:p>
    <w:p w14:paraId="16B7E0F2" w14:textId="77777777" w:rsidR="002E681B" w:rsidRDefault="002E681B" w:rsidP="002E681B">
      <w:pPr>
        <w:pStyle w:val="Lijstalinea"/>
        <w:ind w:left="1440"/>
      </w:pPr>
      <w:r>
        <w:t>Naast</w:t>
      </w:r>
      <w:r w:rsidR="00927B0D">
        <w:t xml:space="preserve"> </w:t>
      </w:r>
      <w:r>
        <w:t xml:space="preserve">regulier onderhoud verbetert Woonkracht10 ook woningen. Woningverbetering kan op twee manieren gerealiseerd worden. Enerzijds door </w:t>
      </w:r>
      <w:r>
        <w:lastRenderedPageBreak/>
        <w:t xml:space="preserve">nieuwbouw, anderzijds door renovatie. Onderstaande tabel toont de </w:t>
      </w:r>
      <w:r w:rsidR="006A6AB1">
        <w:t xml:space="preserve">oplevering van </w:t>
      </w:r>
      <w:r>
        <w:t>nieuwbouw- en renovatieplannen.</w:t>
      </w:r>
    </w:p>
    <w:p w14:paraId="273D730A" w14:textId="77777777" w:rsidR="002809CB" w:rsidRDefault="002809CB" w:rsidP="002E681B">
      <w:pPr>
        <w:pStyle w:val="Lijstalinea"/>
        <w:ind w:left="1440"/>
      </w:pPr>
    </w:p>
    <w:p w14:paraId="7B731947" w14:textId="77777777" w:rsidR="002809CB" w:rsidRDefault="002809CB" w:rsidP="002E681B">
      <w:pPr>
        <w:pStyle w:val="Lijstalinea"/>
        <w:ind w:left="1440"/>
      </w:pPr>
    </w:p>
    <w:tbl>
      <w:tblPr>
        <w:tblStyle w:val="Tabelraster"/>
        <w:tblW w:w="7911" w:type="dxa"/>
        <w:tblInd w:w="1440" w:type="dxa"/>
        <w:tblLook w:val="04A0" w:firstRow="1" w:lastRow="0" w:firstColumn="1" w:lastColumn="0" w:noHBand="0" w:noVBand="1"/>
      </w:tblPr>
      <w:tblGrid>
        <w:gridCol w:w="3517"/>
        <w:gridCol w:w="2835"/>
        <w:gridCol w:w="1559"/>
      </w:tblGrid>
      <w:tr w:rsidR="002E681B" w14:paraId="7F11AB85" w14:textId="77777777" w:rsidTr="00910B4A">
        <w:tc>
          <w:tcPr>
            <w:tcW w:w="7911" w:type="dxa"/>
            <w:gridSpan w:val="3"/>
          </w:tcPr>
          <w:p w14:paraId="099DA00C" w14:textId="77777777" w:rsidR="002E681B" w:rsidRDefault="002E681B" w:rsidP="002E681B">
            <w:pPr>
              <w:pStyle w:val="Lijstalinea"/>
              <w:ind w:left="0"/>
            </w:pPr>
            <w:r>
              <w:rPr>
                <w:b/>
              </w:rPr>
              <w:t>Nieuwbouw 2016</w:t>
            </w:r>
          </w:p>
        </w:tc>
      </w:tr>
      <w:tr w:rsidR="002E681B" w14:paraId="106B7BEF" w14:textId="77777777" w:rsidTr="00910B4A">
        <w:tc>
          <w:tcPr>
            <w:tcW w:w="3517" w:type="dxa"/>
          </w:tcPr>
          <w:p w14:paraId="63EE123D" w14:textId="77777777" w:rsidR="002E681B" w:rsidRDefault="00900D96" w:rsidP="002E681B">
            <w:pPr>
              <w:pStyle w:val="Lijstalinea"/>
              <w:ind w:left="0"/>
            </w:pPr>
            <w:r>
              <w:t>Parallelweg fase 1</w:t>
            </w:r>
          </w:p>
        </w:tc>
        <w:tc>
          <w:tcPr>
            <w:tcW w:w="2835" w:type="dxa"/>
          </w:tcPr>
          <w:p w14:paraId="3F3E90FE" w14:textId="77777777" w:rsidR="002E681B" w:rsidRDefault="00910B4A" w:rsidP="002E681B">
            <w:pPr>
              <w:pStyle w:val="Lijstalinea"/>
              <w:ind w:left="0"/>
            </w:pPr>
            <w:r>
              <w:t>20 woningen</w:t>
            </w:r>
          </w:p>
        </w:tc>
        <w:tc>
          <w:tcPr>
            <w:tcW w:w="1559" w:type="dxa"/>
          </w:tcPr>
          <w:p w14:paraId="5E4D2A27" w14:textId="77777777" w:rsidR="002E681B" w:rsidRDefault="00910B4A" w:rsidP="002E681B">
            <w:pPr>
              <w:pStyle w:val="Lijstalinea"/>
              <w:ind w:left="0"/>
            </w:pPr>
            <w:proofErr w:type="spellStart"/>
            <w:r>
              <w:t>Egw</w:t>
            </w:r>
            <w:proofErr w:type="spellEnd"/>
            <w:r>
              <w:t xml:space="preserve"> huur</w:t>
            </w:r>
          </w:p>
          <w:p w14:paraId="5156F7C1" w14:textId="77777777" w:rsidR="0089637A" w:rsidRDefault="0089637A" w:rsidP="002E681B">
            <w:pPr>
              <w:pStyle w:val="Lijstalinea"/>
              <w:ind w:left="0"/>
            </w:pPr>
            <w:r>
              <w:t>sociaal</w:t>
            </w:r>
          </w:p>
        </w:tc>
      </w:tr>
      <w:tr w:rsidR="002E681B" w14:paraId="2AAA042B" w14:textId="77777777" w:rsidTr="00910B4A">
        <w:tc>
          <w:tcPr>
            <w:tcW w:w="3517" w:type="dxa"/>
          </w:tcPr>
          <w:p w14:paraId="067E4AFB" w14:textId="77777777" w:rsidR="002E681B" w:rsidRDefault="00910B4A" w:rsidP="002E681B">
            <w:pPr>
              <w:pStyle w:val="Lijstalinea"/>
              <w:ind w:left="0"/>
            </w:pPr>
            <w:r>
              <w:t>Woonwagenwoningen</w:t>
            </w:r>
          </w:p>
        </w:tc>
        <w:tc>
          <w:tcPr>
            <w:tcW w:w="2835" w:type="dxa"/>
          </w:tcPr>
          <w:p w14:paraId="360F39C7" w14:textId="77777777" w:rsidR="002E681B" w:rsidRDefault="00910B4A" w:rsidP="002E681B">
            <w:pPr>
              <w:pStyle w:val="Lijstalinea"/>
              <w:ind w:left="0"/>
            </w:pPr>
            <w:r>
              <w:t>6 woningen</w:t>
            </w:r>
          </w:p>
        </w:tc>
        <w:tc>
          <w:tcPr>
            <w:tcW w:w="1559" w:type="dxa"/>
          </w:tcPr>
          <w:p w14:paraId="012862C9" w14:textId="77777777" w:rsidR="002E681B" w:rsidRDefault="00910B4A" w:rsidP="002E681B">
            <w:pPr>
              <w:pStyle w:val="Lijstalinea"/>
              <w:ind w:left="0"/>
            </w:pPr>
            <w:proofErr w:type="spellStart"/>
            <w:r>
              <w:t>Egw</w:t>
            </w:r>
            <w:proofErr w:type="spellEnd"/>
            <w:r>
              <w:t xml:space="preserve"> huur</w:t>
            </w:r>
          </w:p>
          <w:p w14:paraId="0562642F" w14:textId="77777777" w:rsidR="00910B4A" w:rsidRDefault="0089637A" w:rsidP="002E681B">
            <w:pPr>
              <w:pStyle w:val="Lijstalinea"/>
              <w:ind w:left="0"/>
            </w:pPr>
            <w:r>
              <w:t>sociaal</w:t>
            </w:r>
          </w:p>
        </w:tc>
      </w:tr>
    </w:tbl>
    <w:p w14:paraId="576EA139" w14:textId="77777777" w:rsidR="002E681B" w:rsidRDefault="002E681B" w:rsidP="002E681B">
      <w:pPr>
        <w:pStyle w:val="Lijstalinea"/>
        <w:ind w:left="1440"/>
      </w:pPr>
    </w:p>
    <w:tbl>
      <w:tblPr>
        <w:tblStyle w:val="Tabelraster"/>
        <w:tblW w:w="7911" w:type="dxa"/>
        <w:tblInd w:w="1440" w:type="dxa"/>
        <w:tblLook w:val="04A0" w:firstRow="1" w:lastRow="0" w:firstColumn="1" w:lastColumn="0" w:noHBand="0" w:noVBand="1"/>
      </w:tblPr>
      <w:tblGrid>
        <w:gridCol w:w="3379"/>
        <w:gridCol w:w="2973"/>
        <w:gridCol w:w="1559"/>
      </w:tblGrid>
      <w:tr w:rsidR="00910B4A" w14:paraId="0F4C2716" w14:textId="77777777" w:rsidTr="00910B4A">
        <w:tc>
          <w:tcPr>
            <w:tcW w:w="7911" w:type="dxa"/>
            <w:gridSpan w:val="3"/>
          </w:tcPr>
          <w:p w14:paraId="4A2BD9B7" w14:textId="77777777" w:rsidR="00910B4A" w:rsidRPr="00910B4A" w:rsidRDefault="00910B4A" w:rsidP="002E681B">
            <w:pPr>
              <w:pStyle w:val="Lijstalinea"/>
              <w:ind w:left="0"/>
              <w:rPr>
                <w:b/>
              </w:rPr>
            </w:pPr>
            <w:r>
              <w:rPr>
                <w:b/>
              </w:rPr>
              <w:t>Nieuwbouw 2017-2020</w:t>
            </w:r>
          </w:p>
        </w:tc>
      </w:tr>
      <w:tr w:rsidR="006A6AB1" w14:paraId="105E6F52" w14:textId="77777777" w:rsidTr="00910B4A">
        <w:tc>
          <w:tcPr>
            <w:tcW w:w="3379" w:type="dxa"/>
          </w:tcPr>
          <w:p w14:paraId="77843627" w14:textId="30D25125" w:rsidR="006A6AB1" w:rsidRDefault="006A6AB1" w:rsidP="00F516AC">
            <w:pPr>
              <w:pStyle w:val="Lijstalinea"/>
              <w:ind w:left="0"/>
            </w:pPr>
            <w:r>
              <w:t>Parallelweg fase 2</w:t>
            </w:r>
            <w:r w:rsidR="0031228A">
              <w:t xml:space="preserve"> </w:t>
            </w:r>
            <w:r w:rsidR="00D80594" w:rsidRPr="00D80594">
              <w:rPr>
                <w:sz w:val="18"/>
                <w:szCs w:val="18"/>
              </w:rPr>
              <w:t>(</w:t>
            </w:r>
            <w:r w:rsidR="00F516AC">
              <w:rPr>
                <w:sz w:val="18"/>
                <w:szCs w:val="18"/>
              </w:rPr>
              <w:t xml:space="preserve">programma </w:t>
            </w:r>
            <w:r w:rsidR="00D80594" w:rsidRPr="00D80594">
              <w:rPr>
                <w:sz w:val="18"/>
                <w:szCs w:val="18"/>
              </w:rPr>
              <w:t>onzeker</w:t>
            </w:r>
            <w:r w:rsidR="00F516AC">
              <w:rPr>
                <w:sz w:val="18"/>
                <w:szCs w:val="18"/>
              </w:rPr>
              <w:t>;</w:t>
            </w:r>
            <w:r w:rsidR="00D80594" w:rsidRPr="00D80594">
              <w:rPr>
                <w:sz w:val="18"/>
                <w:szCs w:val="18"/>
              </w:rPr>
              <w:t xml:space="preserve"> hangt af van Sporthal Molenzicht</w:t>
            </w:r>
            <w:r w:rsidR="00F516AC">
              <w:rPr>
                <w:sz w:val="18"/>
                <w:szCs w:val="18"/>
              </w:rPr>
              <w:t xml:space="preserve"> en of WK10 </w:t>
            </w:r>
            <w:r w:rsidR="00E911BA">
              <w:rPr>
                <w:sz w:val="18"/>
                <w:szCs w:val="18"/>
              </w:rPr>
              <w:t xml:space="preserve">nog </w:t>
            </w:r>
            <w:r w:rsidR="00F516AC">
              <w:rPr>
                <w:sz w:val="18"/>
                <w:szCs w:val="18"/>
              </w:rPr>
              <w:t>vrije sector huur mag bouwen</w:t>
            </w:r>
            <w:r w:rsidR="00D80594" w:rsidRPr="00D80594">
              <w:rPr>
                <w:sz w:val="18"/>
                <w:szCs w:val="18"/>
              </w:rPr>
              <w:t>)</w:t>
            </w:r>
          </w:p>
        </w:tc>
        <w:tc>
          <w:tcPr>
            <w:tcW w:w="2973" w:type="dxa"/>
          </w:tcPr>
          <w:p w14:paraId="261E7B18" w14:textId="77777777" w:rsidR="006A6AB1" w:rsidRDefault="006A6AB1" w:rsidP="002E681B">
            <w:pPr>
              <w:pStyle w:val="Lijstalinea"/>
              <w:ind w:left="0"/>
            </w:pPr>
            <w:r>
              <w:t>8 woningen</w:t>
            </w:r>
            <w:r w:rsidR="00E25B15">
              <w:t xml:space="preserve"> </w:t>
            </w:r>
          </w:p>
        </w:tc>
        <w:tc>
          <w:tcPr>
            <w:tcW w:w="1559" w:type="dxa"/>
          </w:tcPr>
          <w:p w14:paraId="7A65042F" w14:textId="3D5205BC" w:rsidR="006A6AB1" w:rsidRDefault="006A6AB1" w:rsidP="004F4C6C">
            <w:pPr>
              <w:pStyle w:val="Lijstalinea"/>
              <w:ind w:left="0"/>
            </w:pPr>
            <w:r>
              <w:t xml:space="preserve">EGW huur </w:t>
            </w:r>
          </w:p>
        </w:tc>
      </w:tr>
      <w:tr w:rsidR="00910B4A" w14:paraId="43BDF167" w14:textId="77777777" w:rsidTr="00910B4A">
        <w:tc>
          <w:tcPr>
            <w:tcW w:w="3379" w:type="dxa"/>
          </w:tcPr>
          <w:p w14:paraId="11E1542A" w14:textId="77777777" w:rsidR="00910B4A" w:rsidRDefault="00910B4A" w:rsidP="002E681B">
            <w:pPr>
              <w:pStyle w:val="Lijstalinea"/>
              <w:ind w:left="0"/>
            </w:pPr>
            <w:proofErr w:type="spellStart"/>
            <w:r>
              <w:t>Wasko</w:t>
            </w:r>
            <w:proofErr w:type="spellEnd"/>
            <w:r>
              <w:t xml:space="preserve"> Parallelweg fase 3</w:t>
            </w:r>
            <w:r w:rsidR="00BC6E82">
              <w:t xml:space="preserve"> Dok 11</w:t>
            </w:r>
          </w:p>
        </w:tc>
        <w:tc>
          <w:tcPr>
            <w:tcW w:w="2973" w:type="dxa"/>
          </w:tcPr>
          <w:p w14:paraId="0C668BA7" w14:textId="77777777" w:rsidR="00910B4A" w:rsidRDefault="006A6AB1" w:rsidP="006A6AB1">
            <w:pPr>
              <w:pStyle w:val="Lijstalinea"/>
              <w:ind w:left="0"/>
            </w:pPr>
            <w:r>
              <w:t xml:space="preserve"> </w:t>
            </w:r>
            <w:r w:rsidR="00B16A92">
              <w:t>20-22</w:t>
            </w:r>
            <w:r>
              <w:t xml:space="preserve"> </w:t>
            </w:r>
            <w:r w:rsidR="00910B4A">
              <w:t>woningen</w:t>
            </w:r>
          </w:p>
        </w:tc>
        <w:tc>
          <w:tcPr>
            <w:tcW w:w="1559" w:type="dxa"/>
          </w:tcPr>
          <w:p w14:paraId="55084894" w14:textId="77777777" w:rsidR="00910B4A" w:rsidRDefault="00910B4A" w:rsidP="002E681B">
            <w:pPr>
              <w:pStyle w:val="Lijstalinea"/>
              <w:ind w:left="0"/>
            </w:pPr>
            <w:proofErr w:type="spellStart"/>
            <w:r>
              <w:t>Mgw</w:t>
            </w:r>
            <w:proofErr w:type="spellEnd"/>
            <w:r>
              <w:t xml:space="preserve"> huur</w:t>
            </w:r>
          </w:p>
          <w:p w14:paraId="39D53779" w14:textId="77777777" w:rsidR="0089637A" w:rsidRDefault="0089637A" w:rsidP="002E681B">
            <w:pPr>
              <w:pStyle w:val="Lijstalinea"/>
              <w:ind w:left="0"/>
            </w:pPr>
            <w:r>
              <w:t>sociaal</w:t>
            </w:r>
          </w:p>
        </w:tc>
      </w:tr>
      <w:tr w:rsidR="00910B4A" w14:paraId="5EFA4CAD" w14:textId="77777777" w:rsidTr="00910B4A">
        <w:tc>
          <w:tcPr>
            <w:tcW w:w="3379" w:type="dxa"/>
          </w:tcPr>
          <w:p w14:paraId="68E2CB17" w14:textId="77777777" w:rsidR="00910B4A" w:rsidRDefault="00910B4A" w:rsidP="002E681B">
            <w:pPr>
              <w:pStyle w:val="Lijstalinea"/>
              <w:ind w:left="0"/>
            </w:pPr>
            <w:proofErr w:type="spellStart"/>
            <w:r>
              <w:t>Wasko</w:t>
            </w:r>
            <w:proofErr w:type="spellEnd"/>
            <w:r>
              <w:t xml:space="preserve"> Parallelweg fase 3, plint</w:t>
            </w:r>
          </w:p>
        </w:tc>
        <w:tc>
          <w:tcPr>
            <w:tcW w:w="2973" w:type="dxa"/>
          </w:tcPr>
          <w:p w14:paraId="5F9626EB" w14:textId="77777777" w:rsidR="00910B4A" w:rsidRDefault="00910B4A" w:rsidP="006A6AB1">
            <w:pPr>
              <w:pStyle w:val="Lijstalinea"/>
              <w:ind w:left="0"/>
            </w:pPr>
            <w:r>
              <w:t xml:space="preserve">1 plint met ca. </w:t>
            </w:r>
            <w:r w:rsidR="006A6AB1">
              <w:t>1</w:t>
            </w:r>
            <w:r>
              <w:t>.</w:t>
            </w:r>
            <w:r w:rsidR="006A6AB1">
              <w:t>5</w:t>
            </w:r>
            <w:r>
              <w:t>00m2 VVO</w:t>
            </w:r>
          </w:p>
        </w:tc>
        <w:tc>
          <w:tcPr>
            <w:tcW w:w="1559" w:type="dxa"/>
          </w:tcPr>
          <w:p w14:paraId="1E5FDEFD" w14:textId="77777777" w:rsidR="00910B4A" w:rsidRDefault="00910B4A" w:rsidP="002E681B">
            <w:pPr>
              <w:pStyle w:val="Lijstalinea"/>
              <w:ind w:left="0"/>
            </w:pPr>
            <w:r>
              <w:t>Welzijnsvoorz.</w:t>
            </w:r>
          </w:p>
        </w:tc>
      </w:tr>
      <w:tr w:rsidR="00910B4A" w14:paraId="165B7422" w14:textId="77777777" w:rsidTr="00910B4A">
        <w:tc>
          <w:tcPr>
            <w:tcW w:w="3379" w:type="dxa"/>
          </w:tcPr>
          <w:p w14:paraId="435C6E9A" w14:textId="77777777" w:rsidR="00910B4A" w:rsidRDefault="00910B4A" w:rsidP="002E681B">
            <w:pPr>
              <w:pStyle w:val="Lijstalinea"/>
              <w:ind w:left="0"/>
            </w:pPr>
            <w:r>
              <w:t>Wipmolen</w:t>
            </w:r>
            <w:r w:rsidR="00D80594">
              <w:t xml:space="preserve"> </w:t>
            </w:r>
            <w:r w:rsidR="00D80594" w:rsidRPr="00D80594">
              <w:rPr>
                <w:sz w:val="18"/>
                <w:szCs w:val="18"/>
              </w:rPr>
              <w:t>(onzeker; hangt af van …)</w:t>
            </w:r>
          </w:p>
        </w:tc>
        <w:tc>
          <w:tcPr>
            <w:tcW w:w="2973" w:type="dxa"/>
          </w:tcPr>
          <w:p w14:paraId="4C0BD70C" w14:textId="77777777" w:rsidR="00910B4A" w:rsidRDefault="00910B4A" w:rsidP="002E681B">
            <w:pPr>
              <w:pStyle w:val="Lijstalinea"/>
              <w:ind w:left="0"/>
            </w:pPr>
            <w:r>
              <w:t>28 woningen in een mix van sociale en vrije sector huur</w:t>
            </w:r>
          </w:p>
        </w:tc>
        <w:tc>
          <w:tcPr>
            <w:tcW w:w="1559" w:type="dxa"/>
          </w:tcPr>
          <w:p w14:paraId="7D45BDAC" w14:textId="77777777" w:rsidR="00910B4A" w:rsidRDefault="00910B4A" w:rsidP="002E681B">
            <w:pPr>
              <w:pStyle w:val="Lijstalinea"/>
              <w:ind w:left="0"/>
            </w:pPr>
            <w:proofErr w:type="spellStart"/>
            <w:r>
              <w:t>Egw</w:t>
            </w:r>
            <w:proofErr w:type="spellEnd"/>
            <w:r>
              <w:t xml:space="preserve"> huur</w:t>
            </w:r>
          </w:p>
          <w:p w14:paraId="778A7946" w14:textId="77777777" w:rsidR="0089637A" w:rsidRDefault="0089637A" w:rsidP="002E681B">
            <w:pPr>
              <w:pStyle w:val="Lijstalinea"/>
              <w:ind w:left="0"/>
            </w:pPr>
          </w:p>
        </w:tc>
      </w:tr>
    </w:tbl>
    <w:p w14:paraId="4D830003" w14:textId="77777777" w:rsidR="00E25B15" w:rsidRDefault="00E25B15" w:rsidP="00D80594"/>
    <w:p w14:paraId="35A44DC1" w14:textId="77777777" w:rsidR="004403DE" w:rsidRPr="005F22F6" w:rsidRDefault="004403DE" w:rsidP="002E681B">
      <w:pPr>
        <w:pStyle w:val="Lijstalinea"/>
        <w:ind w:left="1440"/>
        <w:rPr>
          <w:sz w:val="18"/>
          <w:szCs w:val="18"/>
        </w:rPr>
      </w:pPr>
      <w:proofErr w:type="spellStart"/>
      <w:r w:rsidRPr="005F22F6">
        <w:rPr>
          <w:sz w:val="18"/>
          <w:szCs w:val="18"/>
        </w:rPr>
        <w:t>Egw</w:t>
      </w:r>
      <w:proofErr w:type="spellEnd"/>
      <w:r w:rsidRPr="005F22F6">
        <w:rPr>
          <w:sz w:val="18"/>
          <w:szCs w:val="18"/>
        </w:rPr>
        <w:t>: eengezinswoningen</w:t>
      </w:r>
    </w:p>
    <w:p w14:paraId="7B47B6B5" w14:textId="77777777" w:rsidR="004403DE" w:rsidRPr="005F22F6" w:rsidRDefault="004403DE" w:rsidP="002E681B">
      <w:pPr>
        <w:pStyle w:val="Lijstalinea"/>
        <w:ind w:left="1440"/>
        <w:rPr>
          <w:sz w:val="18"/>
          <w:szCs w:val="18"/>
        </w:rPr>
      </w:pPr>
      <w:proofErr w:type="spellStart"/>
      <w:r w:rsidRPr="005F22F6">
        <w:rPr>
          <w:sz w:val="18"/>
          <w:szCs w:val="18"/>
        </w:rPr>
        <w:t>Mgw</w:t>
      </w:r>
      <w:proofErr w:type="spellEnd"/>
      <w:r w:rsidRPr="005F22F6">
        <w:rPr>
          <w:sz w:val="18"/>
          <w:szCs w:val="18"/>
        </w:rPr>
        <w:t>: meergezinswoningen</w:t>
      </w:r>
    </w:p>
    <w:p w14:paraId="0939368B" w14:textId="77777777" w:rsidR="00E87A81" w:rsidRDefault="00E87A81" w:rsidP="002E681B">
      <w:pPr>
        <w:pStyle w:val="Lijstalinea"/>
        <w:ind w:left="1440"/>
      </w:pPr>
    </w:p>
    <w:p w14:paraId="72EE1E7A" w14:textId="77777777" w:rsidR="00910B4A" w:rsidRDefault="00910B4A" w:rsidP="001D17EB">
      <w:pPr>
        <w:ind w:left="1416"/>
      </w:pPr>
      <w:r>
        <w:t>Daarnaast is Woonkracht10 bereid om in overleg met de gemeente Alblasserdam op de CKC-locatie een aantal grondgebonden sociale huurwoningen te realiseren.</w:t>
      </w:r>
    </w:p>
    <w:p w14:paraId="34142010" w14:textId="77777777" w:rsidR="002E681B" w:rsidRDefault="002E681B" w:rsidP="002E681B">
      <w:pPr>
        <w:pStyle w:val="Lijstalinea"/>
        <w:ind w:left="1440"/>
      </w:pPr>
    </w:p>
    <w:p w14:paraId="031ED577" w14:textId="77777777" w:rsidR="002E6689" w:rsidRDefault="002E6689" w:rsidP="002E681B">
      <w:pPr>
        <w:pStyle w:val="Lijstalinea"/>
        <w:ind w:left="1440"/>
      </w:pPr>
    </w:p>
    <w:tbl>
      <w:tblPr>
        <w:tblStyle w:val="Tabelraster"/>
        <w:tblW w:w="7911" w:type="dxa"/>
        <w:tblInd w:w="1440" w:type="dxa"/>
        <w:tblLook w:val="04A0" w:firstRow="1" w:lastRow="0" w:firstColumn="1" w:lastColumn="0" w:noHBand="0" w:noVBand="1"/>
      </w:tblPr>
      <w:tblGrid>
        <w:gridCol w:w="6352"/>
        <w:gridCol w:w="1559"/>
      </w:tblGrid>
      <w:tr w:rsidR="00B7305F" w14:paraId="1F6130DF" w14:textId="77777777" w:rsidTr="00B7305F">
        <w:tc>
          <w:tcPr>
            <w:tcW w:w="7911" w:type="dxa"/>
            <w:gridSpan w:val="2"/>
          </w:tcPr>
          <w:p w14:paraId="50EFECED" w14:textId="77777777" w:rsidR="00B7305F" w:rsidRDefault="00B16A92" w:rsidP="002E681B">
            <w:pPr>
              <w:pStyle w:val="Lijstalinea"/>
              <w:ind w:left="0"/>
            </w:pPr>
            <w:r>
              <w:rPr>
                <w:b/>
              </w:rPr>
              <w:t xml:space="preserve">Verbetering </w:t>
            </w:r>
            <w:r w:rsidR="00B7305F">
              <w:rPr>
                <w:b/>
              </w:rPr>
              <w:t>(inclusief energiemaatregelen) 2016</w:t>
            </w:r>
          </w:p>
        </w:tc>
      </w:tr>
      <w:tr w:rsidR="00B7305F" w14:paraId="1FCF17EB" w14:textId="77777777" w:rsidTr="00B7305F">
        <w:tc>
          <w:tcPr>
            <w:tcW w:w="6352" w:type="dxa"/>
          </w:tcPr>
          <w:p w14:paraId="6E9C8D49" w14:textId="77777777" w:rsidR="00B7305F" w:rsidRDefault="00B7305F" w:rsidP="002E681B">
            <w:pPr>
              <w:pStyle w:val="Lijstalinea"/>
              <w:ind w:left="0"/>
            </w:pPr>
            <w:r>
              <w:t>Nicolaas Beetsstraat</w:t>
            </w:r>
          </w:p>
        </w:tc>
        <w:tc>
          <w:tcPr>
            <w:tcW w:w="1559" w:type="dxa"/>
          </w:tcPr>
          <w:p w14:paraId="06E52528" w14:textId="77777777" w:rsidR="00B7305F" w:rsidRDefault="00B7305F" w:rsidP="002E681B">
            <w:pPr>
              <w:pStyle w:val="Lijstalinea"/>
              <w:ind w:left="0"/>
            </w:pPr>
            <w:r>
              <w:t>224 woningen</w:t>
            </w:r>
          </w:p>
        </w:tc>
      </w:tr>
      <w:tr w:rsidR="00B7305F" w14:paraId="531A1CA1" w14:textId="77777777" w:rsidTr="00B7305F">
        <w:tc>
          <w:tcPr>
            <w:tcW w:w="6352" w:type="dxa"/>
          </w:tcPr>
          <w:p w14:paraId="66D56889" w14:textId="77777777" w:rsidR="00B7305F" w:rsidRDefault="00B7305F" w:rsidP="002E681B">
            <w:pPr>
              <w:pStyle w:val="Lijstalinea"/>
              <w:ind w:left="0"/>
            </w:pPr>
            <w:r>
              <w:t>Rijnstraat en Scheldeplein</w:t>
            </w:r>
          </w:p>
        </w:tc>
        <w:tc>
          <w:tcPr>
            <w:tcW w:w="1559" w:type="dxa"/>
          </w:tcPr>
          <w:p w14:paraId="24184BA1" w14:textId="77777777" w:rsidR="00B7305F" w:rsidRDefault="00B7305F" w:rsidP="002E681B">
            <w:pPr>
              <w:pStyle w:val="Lijstalinea"/>
              <w:ind w:left="0"/>
            </w:pPr>
            <w:r>
              <w:t>64 woningen</w:t>
            </w:r>
          </w:p>
        </w:tc>
      </w:tr>
    </w:tbl>
    <w:p w14:paraId="2BC92EB9" w14:textId="77777777" w:rsidR="0009207E" w:rsidRDefault="0009207E" w:rsidP="001949A4"/>
    <w:p w14:paraId="601227B4" w14:textId="77777777" w:rsidR="0009207E" w:rsidRDefault="0009207E" w:rsidP="001949A4"/>
    <w:tbl>
      <w:tblPr>
        <w:tblStyle w:val="Tabelraster"/>
        <w:tblW w:w="7911" w:type="dxa"/>
        <w:tblInd w:w="1440" w:type="dxa"/>
        <w:tblLook w:val="04A0" w:firstRow="1" w:lastRow="0" w:firstColumn="1" w:lastColumn="0" w:noHBand="0" w:noVBand="1"/>
      </w:tblPr>
      <w:tblGrid>
        <w:gridCol w:w="6352"/>
        <w:gridCol w:w="1559"/>
      </w:tblGrid>
      <w:tr w:rsidR="00B7305F" w14:paraId="4FABB1F3" w14:textId="77777777" w:rsidTr="00847402">
        <w:tc>
          <w:tcPr>
            <w:tcW w:w="7911" w:type="dxa"/>
            <w:gridSpan w:val="2"/>
          </w:tcPr>
          <w:p w14:paraId="3389FC95" w14:textId="77777777" w:rsidR="00B7305F" w:rsidRPr="00B7305F" w:rsidRDefault="00B16A92" w:rsidP="002E681B">
            <w:pPr>
              <w:pStyle w:val="Lijstalinea"/>
              <w:ind w:left="0"/>
              <w:rPr>
                <w:b/>
              </w:rPr>
            </w:pPr>
            <w:r>
              <w:rPr>
                <w:b/>
              </w:rPr>
              <w:t>Verbetering</w:t>
            </w:r>
            <w:r w:rsidR="00B7305F">
              <w:rPr>
                <w:b/>
              </w:rPr>
              <w:t xml:space="preserve"> (inclusief energiemaatregelen) 2017-2020</w:t>
            </w:r>
          </w:p>
        </w:tc>
      </w:tr>
      <w:tr w:rsidR="00B7305F" w14:paraId="145417C0" w14:textId="77777777" w:rsidTr="00847402">
        <w:tc>
          <w:tcPr>
            <w:tcW w:w="6352" w:type="dxa"/>
          </w:tcPr>
          <w:p w14:paraId="08D69E9B" w14:textId="77777777" w:rsidR="00B7305F" w:rsidRDefault="00847402" w:rsidP="002E681B">
            <w:pPr>
              <w:pStyle w:val="Lijstalinea"/>
              <w:ind w:left="0"/>
            </w:pPr>
            <w:r>
              <w:t>Lekstraat</w:t>
            </w:r>
          </w:p>
        </w:tc>
        <w:tc>
          <w:tcPr>
            <w:tcW w:w="1559" w:type="dxa"/>
          </w:tcPr>
          <w:p w14:paraId="2C8F664B" w14:textId="77777777" w:rsidR="00B7305F" w:rsidRDefault="00847402" w:rsidP="002E681B">
            <w:pPr>
              <w:pStyle w:val="Lijstalinea"/>
              <w:ind w:left="0"/>
            </w:pPr>
            <w:r>
              <w:t>106 woningen</w:t>
            </w:r>
          </w:p>
        </w:tc>
      </w:tr>
      <w:tr w:rsidR="00B7305F" w14:paraId="46DD6103" w14:textId="77777777" w:rsidTr="00847402">
        <w:tc>
          <w:tcPr>
            <w:tcW w:w="6352" w:type="dxa"/>
          </w:tcPr>
          <w:p w14:paraId="791FE5AE" w14:textId="77777777" w:rsidR="00B7305F" w:rsidRDefault="00847402" w:rsidP="002E681B">
            <w:pPr>
              <w:pStyle w:val="Lijstalinea"/>
              <w:ind w:left="0"/>
            </w:pPr>
            <w:proofErr w:type="spellStart"/>
            <w:r>
              <w:t>Vroegestraat</w:t>
            </w:r>
            <w:proofErr w:type="spellEnd"/>
          </w:p>
        </w:tc>
        <w:tc>
          <w:tcPr>
            <w:tcW w:w="1559" w:type="dxa"/>
          </w:tcPr>
          <w:p w14:paraId="57BB489C" w14:textId="77777777" w:rsidR="00B7305F" w:rsidRDefault="00847402" w:rsidP="002E681B">
            <w:pPr>
              <w:pStyle w:val="Lijstalinea"/>
              <w:ind w:left="0"/>
            </w:pPr>
            <w:r>
              <w:t>39 woningen</w:t>
            </w:r>
          </w:p>
        </w:tc>
      </w:tr>
      <w:tr w:rsidR="00847402" w14:paraId="41793C1B" w14:textId="77777777" w:rsidTr="00847402">
        <w:tc>
          <w:tcPr>
            <w:tcW w:w="6352" w:type="dxa"/>
          </w:tcPr>
          <w:p w14:paraId="35DF8FD9" w14:textId="77777777" w:rsidR="00847402" w:rsidRDefault="00847402" w:rsidP="002E681B">
            <w:pPr>
              <w:pStyle w:val="Lijstalinea"/>
              <w:ind w:left="0"/>
            </w:pPr>
            <w:r>
              <w:t>Blokweerweg</w:t>
            </w:r>
          </w:p>
        </w:tc>
        <w:tc>
          <w:tcPr>
            <w:tcW w:w="1559" w:type="dxa"/>
          </w:tcPr>
          <w:p w14:paraId="5C9E56EA" w14:textId="77777777" w:rsidR="00847402" w:rsidRDefault="00847402" w:rsidP="002E681B">
            <w:pPr>
              <w:pStyle w:val="Lijstalinea"/>
              <w:ind w:left="0"/>
            </w:pPr>
            <w:r>
              <w:t>143 woningen</w:t>
            </w:r>
          </w:p>
        </w:tc>
      </w:tr>
      <w:tr w:rsidR="00847402" w14:paraId="6BEC13F2" w14:textId="77777777" w:rsidTr="00847402">
        <w:tc>
          <w:tcPr>
            <w:tcW w:w="6352" w:type="dxa"/>
          </w:tcPr>
          <w:p w14:paraId="63039D44" w14:textId="77777777" w:rsidR="00847402" w:rsidRDefault="00847402" w:rsidP="002E681B">
            <w:pPr>
              <w:pStyle w:val="Lijstalinea"/>
              <w:ind w:left="0"/>
            </w:pPr>
            <w:r>
              <w:t xml:space="preserve">Begoniastraat </w:t>
            </w:r>
          </w:p>
        </w:tc>
        <w:tc>
          <w:tcPr>
            <w:tcW w:w="1559" w:type="dxa"/>
          </w:tcPr>
          <w:p w14:paraId="1CB52228" w14:textId="77777777" w:rsidR="00847402" w:rsidRDefault="00847402" w:rsidP="002E681B">
            <w:pPr>
              <w:pStyle w:val="Lijstalinea"/>
              <w:ind w:left="0"/>
            </w:pPr>
            <w:r>
              <w:t>54 woningen</w:t>
            </w:r>
          </w:p>
        </w:tc>
      </w:tr>
      <w:tr w:rsidR="00847402" w14:paraId="366A3D22" w14:textId="77777777" w:rsidTr="00847402">
        <w:tc>
          <w:tcPr>
            <w:tcW w:w="6352" w:type="dxa"/>
          </w:tcPr>
          <w:p w14:paraId="5AC62CB0" w14:textId="77777777" w:rsidR="00847402" w:rsidRDefault="00847402" w:rsidP="002E681B">
            <w:pPr>
              <w:pStyle w:val="Lijstalinea"/>
              <w:ind w:left="0"/>
            </w:pPr>
            <w:r>
              <w:t>Blokweerweg</w:t>
            </w:r>
          </w:p>
        </w:tc>
        <w:tc>
          <w:tcPr>
            <w:tcW w:w="1559" w:type="dxa"/>
          </w:tcPr>
          <w:p w14:paraId="7FAD4CDA" w14:textId="77777777" w:rsidR="00847402" w:rsidRDefault="00847402" w:rsidP="002E681B">
            <w:pPr>
              <w:pStyle w:val="Lijstalinea"/>
              <w:ind w:left="0"/>
            </w:pPr>
            <w:r>
              <w:t>33 woningen</w:t>
            </w:r>
          </w:p>
        </w:tc>
      </w:tr>
    </w:tbl>
    <w:p w14:paraId="24B81799" w14:textId="77777777" w:rsidR="00B7305F" w:rsidRDefault="00B7305F" w:rsidP="000B204F"/>
    <w:p w14:paraId="456DFEAE" w14:textId="77777777" w:rsidR="00CA2F85" w:rsidRDefault="00CA2F85" w:rsidP="00CA2F85">
      <w:pPr>
        <w:pStyle w:val="Lijstalinea"/>
        <w:numPr>
          <w:ilvl w:val="1"/>
          <w:numId w:val="4"/>
        </w:numPr>
      </w:pPr>
      <w:r>
        <w:t>Verkoop</w:t>
      </w:r>
    </w:p>
    <w:p w14:paraId="27D03899" w14:textId="77777777" w:rsidR="003D6A2C" w:rsidRDefault="00760EA6" w:rsidP="002E681B">
      <w:pPr>
        <w:pStyle w:val="Lijstalinea"/>
        <w:ind w:left="1440"/>
        <w:rPr>
          <w:b/>
        </w:rPr>
      </w:pPr>
      <w:r>
        <w:t xml:space="preserve">Verkoop kan bestaan uit verkoop met een kortingsregeling (Koopstart) of vrije verkoop. Onderstaande tabel toont de verwachte verkopen. Bij de verkoopaantallen gaat het nadrukkelijk om een prognose, de </w:t>
      </w:r>
      <w:r w:rsidR="00445B2C">
        <w:t>werkelijke verkoop</w:t>
      </w:r>
      <w:r>
        <w:t xml:space="preserve"> kan als gevolg van onder andere </w:t>
      </w:r>
      <w:r w:rsidRPr="00FC2D1A">
        <w:rPr>
          <w:b/>
        </w:rPr>
        <w:t xml:space="preserve">de mutatiegraad </w:t>
      </w:r>
      <w:r w:rsidR="00445B2C">
        <w:rPr>
          <w:b/>
        </w:rPr>
        <w:t>en de jaarlijkse monitoring</w:t>
      </w:r>
      <w:r w:rsidR="001C0C9A">
        <w:rPr>
          <w:b/>
        </w:rPr>
        <w:t xml:space="preserve"> bijgesteld worden.</w:t>
      </w:r>
      <w:r w:rsidR="003D6A2C" w:rsidRPr="00FC2D1A">
        <w:rPr>
          <w:b/>
        </w:rPr>
        <w:tab/>
      </w:r>
      <w:r w:rsidR="003D6A2C" w:rsidRPr="00FC2D1A">
        <w:rPr>
          <w:b/>
        </w:rPr>
        <w:tab/>
      </w:r>
    </w:p>
    <w:p w14:paraId="615F052B" w14:textId="77777777" w:rsidR="002D124A" w:rsidRDefault="002D124A" w:rsidP="002E681B">
      <w:pPr>
        <w:pStyle w:val="Lijstalinea"/>
        <w:ind w:left="1440"/>
        <w:rPr>
          <w:b/>
        </w:rPr>
      </w:pPr>
    </w:p>
    <w:p w14:paraId="15562395" w14:textId="77777777" w:rsidR="002D124A" w:rsidRDefault="002D124A" w:rsidP="002E681B">
      <w:pPr>
        <w:pStyle w:val="Lijstalinea"/>
        <w:ind w:left="1440"/>
        <w:rPr>
          <w:b/>
        </w:rPr>
      </w:pPr>
    </w:p>
    <w:p w14:paraId="249FC041" w14:textId="77777777" w:rsidR="002D124A" w:rsidRPr="00FC2D1A" w:rsidRDefault="002D124A" w:rsidP="002E681B">
      <w:pPr>
        <w:pStyle w:val="Lijstalinea"/>
        <w:ind w:left="1440"/>
        <w:rPr>
          <w:b/>
        </w:rPr>
      </w:pPr>
    </w:p>
    <w:p w14:paraId="7A1801D2" w14:textId="77777777" w:rsidR="00760EA6" w:rsidRDefault="00760EA6" w:rsidP="003D6A2C">
      <w:pPr>
        <w:pStyle w:val="Lijstalinea"/>
      </w:pPr>
    </w:p>
    <w:tbl>
      <w:tblPr>
        <w:tblStyle w:val="Tabelraster"/>
        <w:tblW w:w="0" w:type="auto"/>
        <w:tblInd w:w="1413" w:type="dxa"/>
        <w:tblLook w:val="04A0" w:firstRow="1" w:lastRow="0" w:firstColumn="1" w:lastColumn="0" w:noHBand="0" w:noVBand="1"/>
      </w:tblPr>
      <w:tblGrid>
        <w:gridCol w:w="3511"/>
        <w:gridCol w:w="4136"/>
      </w:tblGrid>
      <w:tr w:rsidR="00847B61" w14:paraId="68E691EE" w14:textId="77777777" w:rsidTr="002E681B">
        <w:tc>
          <w:tcPr>
            <w:tcW w:w="7649" w:type="dxa"/>
            <w:gridSpan w:val="2"/>
          </w:tcPr>
          <w:p w14:paraId="060AD6FE" w14:textId="77777777" w:rsidR="00847B61" w:rsidRPr="00847B61" w:rsidRDefault="00847B61" w:rsidP="003D6A2C">
            <w:pPr>
              <w:pStyle w:val="Lijstalinea"/>
              <w:ind w:left="0"/>
              <w:rPr>
                <w:b/>
              </w:rPr>
            </w:pPr>
            <w:r w:rsidRPr="00847B61">
              <w:rPr>
                <w:b/>
              </w:rPr>
              <w:lastRenderedPageBreak/>
              <w:t>Verkoop 2016</w:t>
            </w:r>
            <w:r w:rsidR="00096929">
              <w:rPr>
                <w:b/>
              </w:rPr>
              <w:t xml:space="preserve">                                             Totaal 24 woningen</w:t>
            </w:r>
          </w:p>
        </w:tc>
      </w:tr>
      <w:tr w:rsidR="00847B61" w14:paraId="31AF7039" w14:textId="77777777" w:rsidTr="002E681B">
        <w:tc>
          <w:tcPr>
            <w:tcW w:w="3512" w:type="dxa"/>
          </w:tcPr>
          <w:p w14:paraId="7079587C" w14:textId="77777777" w:rsidR="00847B61" w:rsidRDefault="00847B61" w:rsidP="003D6A2C">
            <w:pPr>
              <w:pStyle w:val="Lijstalinea"/>
              <w:ind w:left="0"/>
            </w:pPr>
            <w:r>
              <w:t>H.J. de Haanstraat</w:t>
            </w:r>
          </w:p>
        </w:tc>
        <w:tc>
          <w:tcPr>
            <w:tcW w:w="4137" w:type="dxa"/>
          </w:tcPr>
          <w:p w14:paraId="7A448501" w14:textId="77777777" w:rsidR="00847B61" w:rsidRDefault="00370B0D" w:rsidP="003D6A2C">
            <w:pPr>
              <w:pStyle w:val="Lijstalinea"/>
              <w:ind w:left="0"/>
            </w:pPr>
            <w:r>
              <w:t xml:space="preserve"> 4 </w:t>
            </w:r>
            <w:proofErr w:type="spellStart"/>
            <w:r>
              <w:t>mgw</w:t>
            </w:r>
            <w:proofErr w:type="spellEnd"/>
          </w:p>
        </w:tc>
      </w:tr>
      <w:tr w:rsidR="00847B61" w14:paraId="67968F73" w14:textId="77777777" w:rsidTr="002E681B">
        <w:tc>
          <w:tcPr>
            <w:tcW w:w="3512" w:type="dxa"/>
          </w:tcPr>
          <w:p w14:paraId="32711419" w14:textId="77777777" w:rsidR="00847B61" w:rsidRDefault="00847B61" w:rsidP="003D6A2C">
            <w:pPr>
              <w:pStyle w:val="Lijstalinea"/>
              <w:ind w:left="0"/>
            </w:pPr>
            <w:r>
              <w:t>W. Beckmanstraat</w:t>
            </w:r>
          </w:p>
        </w:tc>
        <w:tc>
          <w:tcPr>
            <w:tcW w:w="4137" w:type="dxa"/>
          </w:tcPr>
          <w:p w14:paraId="371CD14F" w14:textId="77777777" w:rsidR="00847B61" w:rsidRDefault="00370B0D" w:rsidP="003D6A2C">
            <w:pPr>
              <w:pStyle w:val="Lijstalinea"/>
              <w:ind w:left="0"/>
            </w:pPr>
            <w:r>
              <w:t xml:space="preserve"> 3 </w:t>
            </w:r>
            <w:proofErr w:type="spellStart"/>
            <w:r>
              <w:t>mgw</w:t>
            </w:r>
            <w:proofErr w:type="spellEnd"/>
          </w:p>
        </w:tc>
      </w:tr>
      <w:tr w:rsidR="00847B61" w14:paraId="6BE5392C" w14:textId="77777777" w:rsidTr="002E681B">
        <w:tc>
          <w:tcPr>
            <w:tcW w:w="3512" w:type="dxa"/>
          </w:tcPr>
          <w:p w14:paraId="160A211F" w14:textId="4A96447F" w:rsidR="00847B61" w:rsidRDefault="008A3F3C" w:rsidP="003D6A2C">
            <w:pPr>
              <w:pStyle w:val="Lijstalinea"/>
              <w:ind w:left="0"/>
            </w:pPr>
            <w:r>
              <w:t xml:space="preserve">De </w:t>
            </w:r>
            <w:proofErr w:type="spellStart"/>
            <w:r w:rsidR="00847B61">
              <w:t>Sav</w:t>
            </w:r>
            <w:proofErr w:type="spellEnd"/>
            <w:r w:rsidR="00847B61">
              <w:t>. Lohmanweg</w:t>
            </w:r>
          </w:p>
        </w:tc>
        <w:tc>
          <w:tcPr>
            <w:tcW w:w="4137" w:type="dxa"/>
          </w:tcPr>
          <w:p w14:paraId="1DA55CC8" w14:textId="77777777" w:rsidR="00847B61" w:rsidRDefault="00370B0D" w:rsidP="003D6A2C">
            <w:pPr>
              <w:pStyle w:val="Lijstalinea"/>
              <w:ind w:left="0"/>
            </w:pPr>
            <w:r>
              <w:t xml:space="preserve"> 17 </w:t>
            </w:r>
            <w:proofErr w:type="spellStart"/>
            <w:r>
              <w:t>mgw</w:t>
            </w:r>
            <w:proofErr w:type="spellEnd"/>
          </w:p>
        </w:tc>
      </w:tr>
    </w:tbl>
    <w:p w14:paraId="53CF48FD" w14:textId="77777777" w:rsidR="003D6A2C" w:rsidRDefault="003D6A2C" w:rsidP="003D6A2C">
      <w:pPr>
        <w:pStyle w:val="Lijstalinea"/>
      </w:pPr>
      <w:r>
        <w:tab/>
      </w:r>
      <w:r>
        <w:tab/>
      </w:r>
    </w:p>
    <w:p w14:paraId="5230036D" w14:textId="77777777" w:rsidR="00847B61" w:rsidRDefault="00847B61" w:rsidP="003D6A2C">
      <w:r>
        <w:tab/>
      </w:r>
    </w:p>
    <w:p w14:paraId="17004D8F" w14:textId="77777777" w:rsidR="0044762D" w:rsidRDefault="0044762D" w:rsidP="003D6A2C"/>
    <w:tbl>
      <w:tblPr>
        <w:tblStyle w:val="Tabelraster"/>
        <w:tblW w:w="0" w:type="auto"/>
        <w:tblInd w:w="1413" w:type="dxa"/>
        <w:tblLook w:val="04A0" w:firstRow="1" w:lastRow="0" w:firstColumn="1" w:lastColumn="0" w:noHBand="0" w:noVBand="1"/>
      </w:tblPr>
      <w:tblGrid>
        <w:gridCol w:w="3543"/>
        <w:gridCol w:w="4104"/>
      </w:tblGrid>
      <w:tr w:rsidR="00847B61" w14:paraId="42BDD66D" w14:textId="77777777" w:rsidTr="002E681B">
        <w:tc>
          <w:tcPr>
            <w:tcW w:w="7649" w:type="dxa"/>
            <w:gridSpan w:val="2"/>
          </w:tcPr>
          <w:p w14:paraId="01AC1C14" w14:textId="77777777" w:rsidR="00847B61" w:rsidRPr="00847B61" w:rsidRDefault="00847B61" w:rsidP="003D6A2C">
            <w:pPr>
              <w:rPr>
                <w:b/>
              </w:rPr>
            </w:pPr>
            <w:r w:rsidRPr="00847B61">
              <w:rPr>
                <w:b/>
              </w:rPr>
              <w:t>Verkoop 2017</w:t>
            </w:r>
            <w:r w:rsidR="00E87A81">
              <w:rPr>
                <w:b/>
              </w:rPr>
              <w:t>-2020</w:t>
            </w:r>
            <w:r w:rsidR="00096929">
              <w:rPr>
                <w:b/>
              </w:rPr>
              <w:t xml:space="preserve">                                   Totaal 80 woningen </w:t>
            </w:r>
          </w:p>
        </w:tc>
      </w:tr>
      <w:tr w:rsidR="00847B61" w14:paraId="0DDCB71B" w14:textId="77777777" w:rsidTr="002E681B">
        <w:tc>
          <w:tcPr>
            <w:tcW w:w="3544" w:type="dxa"/>
          </w:tcPr>
          <w:p w14:paraId="07D7DF0E" w14:textId="77777777" w:rsidR="00847B61" w:rsidRDefault="00847B61" w:rsidP="003D6A2C">
            <w:r>
              <w:t>Seringstraat e.o.</w:t>
            </w:r>
          </w:p>
        </w:tc>
        <w:tc>
          <w:tcPr>
            <w:tcW w:w="4105" w:type="dxa"/>
          </w:tcPr>
          <w:p w14:paraId="7F94E330" w14:textId="77777777" w:rsidR="00847B61" w:rsidRDefault="00370B0D" w:rsidP="003D6A2C">
            <w:r>
              <w:t xml:space="preserve">1 </w:t>
            </w:r>
            <w:proofErr w:type="spellStart"/>
            <w:r>
              <w:t>egw</w:t>
            </w:r>
            <w:proofErr w:type="spellEnd"/>
          </w:p>
        </w:tc>
      </w:tr>
      <w:tr w:rsidR="00847B61" w14:paraId="2AF11DF0" w14:textId="77777777" w:rsidTr="002E681B">
        <w:tc>
          <w:tcPr>
            <w:tcW w:w="3544" w:type="dxa"/>
          </w:tcPr>
          <w:p w14:paraId="6769344A" w14:textId="77777777" w:rsidR="00847B61" w:rsidRDefault="00847B61" w:rsidP="003D6A2C">
            <w:r>
              <w:t>Batavierstraat</w:t>
            </w:r>
          </w:p>
        </w:tc>
        <w:tc>
          <w:tcPr>
            <w:tcW w:w="4105" w:type="dxa"/>
          </w:tcPr>
          <w:p w14:paraId="4A07DE8A" w14:textId="77777777" w:rsidR="00847B61" w:rsidRDefault="00370B0D" w:rsidP="003D6A2C">
            <w:r>
              <w:t xml:space="preserve">1 </w:t>
            </w:r>
            <w:proofErr w:type="spellStart"/>
            <w:r>
              <w:t>egw</w:t>
            </w:r>
            <w:proofErr w:type="spellEnd"/>
          </w:p>
        </w:tc>
      </w:tr>
      <w:tr w:rsidR="00847B61" w14:paraId="673D9E25" w14:textId="77777777" w:rsidTr="002E681B">
        <w:tc>
          <w:tcPr>
            <w:tcW w:w="3544" w:type="dxa"/>
          </w:tcPr>
          <w:p w14:paraId="7F1656CD" w14:textId="77777777" w:rsidR="00847B61" w:rsidRDefault="00847B61" w:rsidP="003D6A2C">
            <w:r>
              <w:t>H.J. de Haanstraat</w:t>
            </w:r>
          </w:p>
        </w:tc>
        <w:tc>
          <w:tcPr>
            <w:tcW w:w="4105" w:type="dxa"/>
          </w:tcPr>
          <w:p w14:paraId="170CF5C7" w14:textId="3516DF3D" w:rsidR="00847B61" w:rsidRDefault="00370B0D" w:rsidP="003D6A2C">
            <w:r>
              <w:t xml:space="preserve">9 </w:t>
            </w:r>
            <w:proofErr w:type="spellStart"/>
            <w:r w:rsidR="009848D7">
              <w:t>m</w:t>
            </w:r>
            <w:r>
              <w:t>gw</w:t>
            </w:r>
            <w:proofErr w:type="spellEnd"/>
          </w:p>
        </w:tc>
      </w:tr>
      <w:tr w:rsidR="00847B61" w14:paraId="410B84B6" w14:textId="77777777" w:rsidTr="002E681B">
        <w:tc>
          <w:tcPr>
            <w:tcW w:w="3544" w:type="dxa"/>
          </w:tcPr>
          <w:p w14:paraId="41E8DCE4" w14:textId="77777777" w:rsidR="00847B61" w:rsidRDefault="00847B61" w:rsidP="003D6A2C">
            <w:r>
              <w:t>Esdoornlaan e.o.</w:t>
            </w:r>
          </w:p>
        </w:tc>
        <w:tc>
          <w:tcPr>
            <w:tcW w:w="4105" w:type="dxa"/>
          </w:tcPr>
          <w:p w14:paraId="1D6EDC70" w14:textId="77777777" w:rsidR="00847B61" w:rsidRDefault="00370B0D" w:rsidP="00370B0D">
            <w:r>
              <w:t xml:space="preserve">1 </w:t>
            </w:r>
            <w:proofErr w:type="spellStart"/>
            <w:r>
              <w:t>egw</w:t>
            </w:r>
            <w:proofErr w:type="spellEnd"/>
          </w:p>
        </w:tc>
      </w:tr>
      <w:tr w:rsidR="00847B61" w14:paraId="3FF871D3" w14:textId="77777777" w:rsidTr="002E681B">
        <w:tc>
          <w:tcPr>
            <w:tcW w:w="3544" w:type="dxa"/>
          </w:tcPr>
          <w:p w14:paraId="71EF13A7" w14:textId="77777777" w:rsidR="00847B61" w:rsidRDefault="00847B61" w:rsidP="003D6A2C">
            <w:r>
              <w:t>Brunel</w:t>
            </w:r>
          </w:p>
        </w:tc>
        <w:tc>
          <w:tcPr>
            <w:tcW w:w="4105" w:type="dxa"/>
          </w:tcPr>
          <w:p w14:paraId="7BD1F031" w14:textId="77777777" w:rsidR="00847B61" w:rsidRDefault="00370B0D" w:rsidP="003D6A2C">
            <w:r>
              <w:t xml:space="preserve">3 </w:t>
            </w:r>
            <w:proofErr w:type="spellStart"/>
            <w:r>
              <w:t>egw</w:t>
            </w:r>
            <w:proofErr w:type="spellEnd"/>
          </w:p>
        </w:tc>
      </w:tr>
      <w:tr w:rsidR="00847B61" w14:paraId="0325597F" w14:textId="77777777" w:rsidTr="002E681B">
        <w:tc>
          <w:tcPr>
            <w:tcW w:w="3544" w:type="dxa"/>
          </w:tcPr>
          <w:p w14:paraId="39338664" w14:textId="77777777" w:rsidR="00847B61" w:rsidRDefault="00847B61" w:rsidP="003D6A2C">
            <w:r>
              <w:t>W. Beckmanstraat</w:t>
            </w:r>
          </w:p>
        </w:tc>
        <w:tc>
          <w:tcPr>
            <w:tcW w:w="4105" w:type="dxa"/>
          </w:tcPr>
          <w:p w14:paraId="08B782E6" w14:textId="77777777" w:rsidR="00847B61" w:rsidRDefault="00370B0D" w:rsidP="003D6A2C">
            <w:r>
              <w:t xml:space="preserve">8 </w:t>
            </w:r>
            <w:proofErr w:type="spellStart"/>
            <w:r>
              <w:t>mgw</w:t>
            </w:r>
            <w:proofErr w:type="spellEnd"/>
          </w:p>
        </w:tc>
      </w:tr>
      <w:tr w:rsidR="00847B61" w14:paraId="46864C89" w14:textId="77777777" w:rsidTr="002E681B">
        <w:tc>
          <w:tcPr>
            <w:tcW w:w="3544" w:type="dxa"/>
          </w:tcPr>
          <w:p w14:paraId="4AE7097E" w14:textId="77777777" w:rsidR="00847B61" w:rsidRDefault="00847B61" w:rsidP="003D6A2C">
            <w:r>
              <w:t xml:space="preserve">De </w:t>
            </w:r>
            <w:proofErr w:type="spellStart"/>
            <w:r>
              <w:t>Sav</w:t>
            </w:r>
            <w:proofErr w:type="spellEnd"/>
            <w:r>
              <w:t>. Lohmanweg</w:t>
            </w:r>
          </w:p>
        </w:tc>
        <w:tc>
          <w:tcPr>
            <w:tcW w:w="4105" w:type="dxa"/>
          </w:tcPr>
          <w:p w14:paraId="1C6414FF" w14:textId="77777777" w:rsidR="00847B61" w:rsidRDefault="00370B0D" w:rsidP="003D6A2C">
            <w:r>
              <w:t xml:space="preserve">37 </w:t>
            </w:r>
            <w:proofErr w:type="spellStart"/>
            <w:r>
              <w:t>mgw</w:t>
            </w:r>
            <w:proofErr w:type="spellEnd"/>
          </w:p>
        </w:tc>
      </w:tr>
      <w:tr w:rsidR="00847B61" w14:paraId="23C0FC7E" w14:textId="77777777" w:rsidTr="002E681B">
        <w:tc>
          <w:tcPr>
            <w:tcW w:w="3544" w:type="dxa"/>
          </w:tcPr>
          <w:p w14:paraId="2932EBB4" w14:textId="77777777" w:rsidR="00847B61" w:rsidRDefault="00847B61" w:rsidP="003D6A2C">
            <w:r>
              <w:t>Maasstraat</w:t>
            </w:r>
          </w:p>
        </w:tc>
        <w:tc>
          <w:tcPr>
            <w:tcW w:w="4105" w:type="dxa"/>
          </w:tcPr>
          <w:p w14:paraId="21891A41" w14:textId="77777777" w:rsidR="00847B61" w:rsidRDefault="00370B0D" w:rsidP="003D6A2C">
            <w:r>
              <w:t xml:space="preserve">20 </w:t>
            </w:r>
            <w:proofErr w:type="spellStart"/>
            <w:r>
              <w:t>mgw</w:t>
            </w:r>
            <w:proofErr w:type="spellEnd"/>
          </w:p>
        </w:tc>
      </w:tr>
    </w:tbl>
    <w:p w14:paraId="3DA32F30" w14:textId="77777777" w:rsidR="003D6A2C" w:rsidRDefault="003D6A2C" w:rsidP="003D6A2C"/>
    <w:p w14:paraId="38560DDE" w14:textId="77777777" w:rsidR="0031228A" w:rsidRPr="0031228A" w:rsidRDefault="0031228A" w:rsidP="0031228A">
      <w:pPr>
        <w:rPr>
          <w:sz w:val="18"/>
          <w:szCs w:val="18"/>
        </w:rPr>
      </w:pPr>
      <w:r>
        <w:tab/>
      </w:r>
      <w:r>
        <w:tab/>
      </w:r>
      <w:proofErr w:type="spellStart"/>
      <w:r w:rsidRPr="0031228A">
        <w:rPr>
          <w:sz w:val="18"/>
          <w:szCs w:val="18"/>
        </w:rPr>
        <w:t>Egw</w:t>
      </w:r>
      <w:proofErr w:type="spellEnd"/>
      <w:r w:rsidRPr="0031228A">
        <w:rPr>
          <w:sz w:val="18"/>
          <w:szCs w:val="18"/>
        </w:rPr>
        <w:t>: eengezinswoningen</w:t>
      </w:r>
    </w:p>
    <w:p w14:paraId="585ED7C9" w14:textId="77777777" w:rsidR="0031228A" w:rsidRPr="009F3D14" w:rsidRDefault="0031228A" w:rsidP="0031228A">
      <w:pPr>
        <w:ind w:left="708" w:firstLine="708"/>
      </w:pPr>
      <w:proofErr w:type="spellStart"/>
      <w:r w:rsidRPr="0031228A">
        <w:rPr>
          <w:sz w:val="18"/>
          <w:szCs w:val="18"/>
        </w:rPr>
        <w:t>Mgw</w:t>
      </w:r>
      <w:proofErr w:type="spellEnd"/>
      <w:r w:rsidRPr="0031228A">
        <w:rPr>
          <w:sz w:val="18"/>
          <w:szCs w:val="18"/>
        </w:rPr>
        <w:t>: meergezinswoningen</w:t>
      </w:r>
    </w:p>
    <w:p w14:paraId="49892790" w14:textId="77777777" w:rsidR="009F3D14" w:rsidRPr="00683EB7" w:rsidRDefault="009F3D14" w:rsidP="00683EB7"/>
    <w:p w14:paraId="2DBFAE95" w14:textId="77777777" w:rsidR="008C3A1C" w:rsidRPr="005E24E0" w:rsidRDefault="008C3A1C" w:rsidP="005E24E0">
      <w:pPr>
        <w:rPr>
          <w:b/>
        </w:rPr>
      </w:pPr>
      <w:r w:rsidRPr="005E24E0">
        <w:rPr>
          <w:b/>
        </w:rPr>
        <w:t>Voorrang</w:t>
      </w:r>
    </w:p>
    <w:p w14:paraId="2D9959DB" w14:textId="77777777" w:rsidR="008C3A1C" w:rsidRDefault="008C3A1C" w:rsidP="008C3A1C">
      <w:pPr>
        <w:pStyle w:val="Lijstalinea"/>
      </w:pPr>
    </w:p>
    <w:p w14:paraId="6F18E439" w14:textId="77777777" w:rsidR="008C3A1C" w:rsidRDefault="0044762D" w:rsidP="005E24E0">
      <w:pPr>
        <w:ind w:firstLine="708"/>
      </w:pPr>
      <w:r>
        <w:t>B</w:t>
      </w:r>
      <w:r w:rsidR="008C3A1C">
        <w:t xml:space="preserve">ij bovenstaande afspraken over de ontwikkeling van de sociale voorraad </w:t>
      </w:r>
    </w:p>
    <w:p w14:paraId="28F84B5B" w14:textId="1617F1E3" w:rsidR="00D045BF" w:rsidRDefault="008C3A1C" w:rsidP="005E24E0">
      <w:pPr>
        <w:ind w:left="708"/>
      </w:pPr>
      <w:r>
        <w:t>wordt rekening gehouden met de gemeentelijke taakstelling voor het huisvesten van statushouders. Er dienen voldoende woningen beschikbaar te zijn voor reguliere woningzoekenden (minimaal 50% van het vrijkomende aanbod)</w:t>
      </w:r>
      <w:r w:rsidR="00AF7FF8">
        <w:t xml:space="preserve"> en </w:t>
      </w:r>
      <w:proofErr w:type="spellStart"/>
      <w:r w:rsidR="00AF7FF8">
        <w:t>urgenten</w:t>
      </w:r>
      <w:proofErr w:type="spellEnd"/>
      <w:r>
        <w:t xml:space="preserve">, terwijl ook de taakstelling voor statushouders gehaald moet kunnen worden. Indien één van de twee bovenstaande uitgangspunten niet gerealiseerd kan worden, wordt in gezamenlijk overleg besproken hoe </w:t>
      </w:r>
      <w:r w:rsidR="0049711D">
        <w:t>het</w:t>
      </w:r>
      <w:r w:rsidR="00BF1615">
        <w:t xml:space="preserve"> (regionale)</w:t>
      </w:r>
      <w:r w:rsidR="0049711D">
        <w:t xml:space="preserve"> beleid</w:t>
      </w:r>
      <w:r>
        <w:t xml:space="preserve"> moeten worden aangepast om te zorgen voor voldoende aanbod.</w:t>
      </w:r>
      <w:r w:rsidR="001F20D0">
        <w:t xml:space="preserve"> Er zijn twee evaluatiemomenten per jaar, te weten in het voorjaar en het najaar.</w:t>
      </w:r>
      <w:r w:rsidR="00BF1615">
        <w:t xml:space="preserve"> Bij</w:t>
      </w:r>
      <w:r w:rsidR="0089637A">
        <w:t xml:space="preserve"> het</w:t>
      </w:r>
      <w:r w:rsidR="00BF1615">
        <w:t xml:space="preserve"> bestuurlijk overleg </w:t>
      </w:r>
      <w:r w:rsidR="0089637A">
        <w:t xml:space="preserve">wordt </w:t>
      </w:r>
      <w:r w:rsidR="00BF1615">
        <w:t xml:space="preserve">ook </w:t>
      </w:r>
      <w:r w:rsidR="0089637A">
        <w:t xml:space="preserve">de </w:t>
      </w:r>
      <w:r w:rsidR="00BF1615">
        <w:t>huurdersraad uit</w:t>
      </w:r>
      <w:r w:rsidR="0089637A">
        <w:t>genodigd</w:t>
      </w:r>
      <w:r w:rsidR="00BF1615">
        <w:t>.</w:t>
      </w:r>
    </w:p>
    <w:p w14:paraId="586FA438" w14:textId="77777777" w:rsidR="00F434E1" w:rsidRDefault="00F434E1" w:rsidP="00FC7743">
      <w:pPr>
        <w:ind w:firstLine="708"/>
        <w:rPr>
          <w:b/>
        </w:rPr>
      </w:pPr>
    </w:p>
    <w:p w14:paraId="4DFBE118" w14:textId="77777777" w:rsidR="00FC7743" w:rsidRDefault="00FC7743" w:rsidP="005E24E0">
      <w:pPr>
        <w:rPr>
          <w:b/>
        </w:rPr>
      </w:pPr>
      <w:r w:rsidRPr="00FC7743">
        <w:rPr>
          <w:b/>
        </w:rPr>
        <w:t>Betaalbaarheid</w:t>
      </w:r>
    </w:p>
    <w:p w14:paraId="52F72D02" w14:textId="77777777" w:rsidR="00FC7743" w:rsidRPr="00FC7743" w:rsidRDefault="00FC7743" w:rsidP="00FC7743">
      <w:pPr>
        <w:ind w:firstLine="708"/>
        <w:rPr>
          <w:b/>
        </w:rPr>
      </w:pPr>
    </w:p>
    <w:p w14:paraId="6F869704" w14:textId="05BCBC2D" w:rsidR="00FC7743" w:rsidRDefault="00FC7743" w:rsidP="005E24E0">
      <w:pPr>
        <w:ind w:left="708"/>
      </w:pPr>
      <w:r>
        <w:t xml:space="preserve">De gemeente stimuleert in samenwerking met Woonkracht10 de  bouw van </w:t>
      </w:r>
      <w:r w:rsidR="0089637A">
        <w:t>sociale</w:t>
      </w:r>
      <w:r>
        <w:t xml:space="preserve"> huurwoningen</w:t>
      </w:r>
      <w:r w:rsidR="0089637A">
        <w:t>. Hierdoor kunnen mensen doorstromen en komen er ook meer woningen</w:t>
      </w:r>
      <w:r>
        <w:t xml:space="preserve"> voor jongeren en jonge gezinnen (starterswoningen)</w:t>
      </w:r>
      <w:r w:rsidR="0089637A">
        <w:t xml:space="preserve"> beschikbaar</w:t>
      </w:r>
      <w:r>
        <w:t xml:space="preserve">. Tot 2020 staan de volgende nieuwbouwprojecten op de rol die bijdragen aan de </w:t>
      </w:r>
      <w:r w:rsidR="0089637A">
        <w:t>doorstroming</w:t>
      </w:r>
      <w:r>
        <w:t xml:space="preserve">: Oude Mavo Parallelweg fase 1 (20 huur eengezinswoningen) , </w:t>
      </w:r>
      <w:proofErr w:type="spellStart"/>
      <w:r>
        <w:t>Wasko</w:t>
      </w:r>
      <w:proofErr w:type="spellEnd"/>
      <w:r>
        <w:t xml:space="preserve"> Parallelweg fase 3 (20-22 woningen huur meergezinswoningen) en de Oude Wipmolenlocatie (28 woningen in een mix van sociale en vrije sector huur eengezinswoningen).</w:t>
      </w:r>
    </w:p>
    <w:p w14:paraId="195C66DF" w14:textId="77777777" w:rsidR="00FC7743" w:rsidRDefault="00FC7743" w:rsidP="00FC7743">
      <w:r>
        <w:t xml:space="preserve">                </w:t>
      </w:r>
    </w:p>
    <w:p w14:paraId="08E33A94" w14:textId="348BBA74" w:rsidR="00FC7743" w:rsidRDefault="00FC7743" w:rsidP="005E24E0">
      <w:pPr>
        <w:ind w:left="708"/>
      </w:pPr>
      <w:r>
        <w:t>Om te zorgen dat bestaande woningen betaalbaar zijn en blijven, voert Woonkracht10 een  terughoudend huurbeleid als het gaat om sociale huurwoningen en mensen met een laag inkomen. De huurverhoging</w:t>
      </w:r>
      <w:r w:rsidR="00FC4B03">
        <w:t xml:space="preserve"> van 2016</w:t>
      </w:r>
      <w:r w:rsidR="006C475E">
        <w:t xml:space="preserve"> voor de lagere en middeninkomens</w:t>
      </w:r>
      <w:r>
        <w:t xml:space="preserve"> volgt de inflatie. Vooralsnog is de gemiddelde streefhuur bij een woning 85% van de maximaal redelijke huur. Zowel aanpassing in de woningtoewijzing als het woningwaarderingsstelsel maken het noodzakelijk om het streefhuurbeleid te herzien. Naar verwachting is in de loop van 2016 hier meer over bekend.</w:t>
      </w:r>
    </w:p>
    <w:p w14:paraId="104AF0C6" w14:textId="77777777" w:rsidR="00FC7743" w:rsidRDefault="00FC7743" w:rsidP="00FC7743"/>
    <w:p w14:paraId="35AA913F" w14:textId="77777777" w:rsidR="00EB0B03" w:rsidRDefault="00FC7743" w:rsidP="005E24E0">
      <w:pPr>
        <w:ind w:left="708"/>
      </w:pPr>
      <w:r>
        <w:t>Het energiezuinig maken van de woningen draagt bij aan de betaalbaarheid van de woningen.</w:t>
      </w:r>
    </w:p>
    <w:p w14:paraId="7EE05BA1" w14:textId="77777777" w:rsidR="00EB0B03" w:rsidRDefault="00EB0B03" w:rsidP="00B76749"/>
    <w:p w14:paraId="0096CE19" w14:textId="6B92EECF" w:rsidR="00DD7DA6" w:rsidRPr="003A592F" w:rsidRDefault="003A592F" w:rsidP="00B76749">
      <w:pPr>
        <w:rPr>
          <w:b/>
        </w:rPr>
      </w:pPr>
      <w:r>
        <w:rPr>
          <w:b/>
        </w:rPr>
        <w:t>Duurzaamheid en milieu</w:t>
      </w:r>
    </w:p>
    <w:p w14:paraId="346D493C" w14:textId="77777777" w:rsidR="005E534D" w:rsidRDefault="003A592F" w:rsidP="00B76749">
      <w:r>
        <w:tab/>
      </w:r>
    </w:p>
    <w:p w14:paraId="5EE3DAA6" w14:textId="6FD86A41" w:rsidR="009D69EF" w:rsidRDefault="003A592F" w:rsidP="009D69EF">
      <w:pPr>
        <w:pStyle w:val="Lijstalinea"/>
        <w:numPr>
          <w:ilvl w:val="0"/>
          <w:numId w:val="15"/>
        </w:numPr>
      </w:pPr>
      <w:r>
        <w:t xml:space="preserve">Conform de afspraken in hoofdstuk 3 zijn de regionale doelstellingen voor </w:t>
      </w:r>
      <w:proofErr w:type="spellStart"/>
      <w:r>
        <w:t>duurzaamheid;</w:t>
      </w:r>
      <w:r w:rsidR="009D69EF">
        <w:t>De</w:t>
      </w:r>
      <w:proofErr w:type="spellEnd"/>
      <w:r w:rsidR="009D69EF">
        <w:t xml:space="preserve"> corporatiewoningen worden voor 2025 naar het groen label gebracht (Label A, B of C).</w:t>
      </w:r>
    </w:p>
    <w:p w14:paraId="548209D8" w14:textId="44239F65" w:rsidR="009D69EF" w:rsidRDefault="009D69EF" w:rsidP="009D69EF">
      <w:pPr>
        <w:pStyle w:val="Lijstalinea"/>
        <w:numPr>
          <w:ilvl w:val="0"/>
          <w:numId w:val="15"/>
        </w:numPr>
      </w:pPr>
      <w:r>
        <w:t>Indien mogelijk worden woningen aangesloten op een warmtenet.</w:t>
      </w:r>
    </w:p>
    <w:p w14:paraId="0961F255" w14:textId="0D9A557D" w:rsidR="009D69EF" w:rsidRDefault="009D69EF" w:rsidP="009D69EF">
      <w:pPr>
        <w:pStyle w:val="Lijstalinea"/>
        <w:numPr>
          <w:ilvl w:val="0"/>
          <w:numId w:val="15"/>
        </w:numPr>
      </w:pPr>
      <w:r>
        <w:t>In het nieuwbouwprogramma streven corporaties naar het realiseren van energie neutrale woningen.</w:t>
      </w:r>
    </w:p>
    <w:p w14:paraId="47440AA4" w14:textId="77777777" w:rsidR="00086856" w:rsidRDefault="00086856" w:rsidP="005E24E0">
      <w:pPr>
        <w:ind w:firstLine="708"/>
      </w:pPr>
      <w:r>
        <w:t>Te slopen of te verkopen woningen zijn uitgezonderd van duurzaamheidsmaatregelen.</w:t>
      </w:r>
    </w:p>
    <w:p w14:paraId="18591FE7" w14:textId="77777777" w:rsidR="00086856" w:rsidRDefault="00086856" w:rsidP="00086856">
      <w:pPr>
        <w:ind w:left="708"/>
      </w:pPr>
      <w:r>
        <w:t>Voor Woonkracht10 is het uitgangspunt dat de investeringen in duurzaamheid ook positieve effecten hebben op de betaalbaarheid.</w:t>
      </w:r>
    </w:p>
    <w:p w14:paraId="2E29B118" w14:textId="77777777" w:rsidR="00EF1705" w:rsidRDefault="00EF1705" w:rsidP="00EF1705"/>
    <w:p w14:paraId="107BA6D6" w14:textId="77777777" w:rsidR="00370B0D" w:rsidRDefault="00EF1705" w:rsidP="00EF1705">
      <w:pPr>
        <w:ind w:left="708"/>
      </w:pPr>
      <w:r>
        <w:t>W</w:t>
      </w:r>
      <w:r w:rsidR="00FC2D1A">
        <w:t>oonkracht10 wil in tien jaar alle onzuinige woningen tot zuinige woningen getransformeerd hebben. Zuinige woningen zijn woningen met een groen energielabel (EPC= 1,60 of lager). De laatste woningen pakt Woonkracht10 in 2023 aan. Onderstaande tabel toont de woningen die een energieaanpak krijgen.</w:t>
      </w:r>
    </w:p>
    <w:p w14:paraId="72BC0D4C" w14:textId="77777777" w:rsidR="00F2193E" w:rsidRDefault="002927C1" w:rsidP="00370B0D">
      <w:pPr>
        <w:ind w:left="708"/>
      </w:pPr>
      <w:r w:rsidRPr="002927C1">
        <w:t>Daarnaast onderzoekt Woonkracht10 voor een aantal hoogbouwcomplexen de plaatsing van zonnepanelen.</w:t>
      </w:r>
    </w:p>
    <w:p w14:paraId="3357073C" w14:textId="77777777" w:rsidR="00F2193E" w:rsidRDefault="00F2193E" w:rsidP="00EF1705"/>
    <w:tbl>
      <w:tblPr>
        <w:tblStyle w:val="Tabelraster"/>
        <w:tblW w:w="0" w:type="auto"/>
        <w:tblInd w:w="1413" w:type="dxa"/>
        <w:tblLook w:val="04A0" w:firstRow="1" w:lastRow="0" w:firstColumn="1" w:lastColumn="0" w:noHBand="0" w:noVBand="1"/>
      </w:tblPr>
      <w:tblGrid>
        <w:gridCol w:w="3543"/>
        <w:gridCol w:w="4104"/>
      </w:tblGrid>
      <w:tr w:rsidR="00FC2D1A" w14:paraId="757B7B8B" w14:textId="77777777" w:rsidTr="00FC4B03">
        <w:tc>
          <w:tcPr>
            <w:tcW w:w="7649" w:type="dxa"/>
            <w:gridSpan w:val="2"/>
          </w:tcPr>
          <w:p w14:paraId="2CBD4E8E" w14:textId="77777777" w:rsidR="00FC2D1A" w:rsidRPr="00FC2D1A" w:rsidRDefault="00FC2D1A" w:rsidP="002A3040">
            <w:pPr>
              <w:rPr>
                <w:b/>
              </w:rPr>
            </w:pPr>
            <w:r w:rsidRPr="00FC2D1A">
              <w:rPr>
                <w:b/>
              </w:rPr>
              <w:t>Energiemaatregelen 2016</w:t>
            </w:r>
          </w:p>
        </w:tc>
      </w:tr>
      <w:tr w:rsidR="00FC2D1A" w14:paraId="5722D3C0" w14:textId="77777777" w:rsidTr="00FC2D1A">
        <w:tc>
          <w:tcPr>
            <w:tcW w:w="3544" w:type="dxa"/>
          </w:tcPr>
          <w:p w14:paraId="1D3F7B29" w14:textId="77777777" w:rsidR="00FC2D1A" w:rsidRDefault="00FC2D1A" w:rsidP="002A3040">
            <w:r>
              <w:t>-</w:t>
            </w:r>
          </w:p>
        </w:tc>
        <w:tc>
          <w:tcPr>
            <w:tcW w:w="4105" w:type="dxa"/>
          </w:tcPr>
          <w:p w14:paraId="27648A85" w14:textId="77777777" w:rsidR="00FC2D1A" w:rsidRDefault="00FC2D1A" w:rsidP="002A3040"/>
        </w:tc>
      </w:tr>
    </w:tbl>
    <w:p w14:paraId="6E2258DE" w14:textId="77777777" w:rsidR="00FC2D1A" w:rsidRDefault="00FC2D1A" w:rsidP="002A3040">
      <w:pPr>
        <w:ind w:left="708"/>
      </w:pPr>
    </w:p>
    <w:tbl>
      <w:tblPr>
        <w:tblStyle w:val="Tabelraster"/>
        <w:tblW w:w="0" w:type="auto"/>
        <w:tblInd w:w="1413" w:type="dxa"/>
        <w:tblLook w:val="04A0" w:firstRow="1" w:lastRow="0" w:firstColumn="1" w:lastColumn="0" w:noHBand="0" w:noVBand="1"/>
      </w:tblPr>
      <w:tblGrid>
        <w:gridCol w:w="3543"/>
        <w:gridCol w:w="4104"/>
      </w:tblGrid>
      <w:tr w:rsidR="00FC2D1A" w14:paraId="55A161E7" w14:textId="77777777" w:rsidTr="00FC2D1A">
        <w:tc>
          <w:tcPr>
            <w:tcW w:w="7649" w:type="dxa"/>
            <w:gridSpan w:val="2"/>
          </w:tcPr>
          <w:p w14:paraId="36B840F9" w14:textId="77777777" w:rsidR="00FC2D1A" w:rsidRPr="00FC2D1A" w:rsidRDefault="00FC2D1A" w:rsidP="002A3040">
            <w:pPr>
              <w:rPr>
                <w:b/>
              </w:rPr>
            </w:pPr>
            <w:r>
              <w:rPr>
                <w:b/>
              </w:rPr>
              <w:t>Energiemaatregelen 2017-2020</w:t>
            </w:r>
          </w:p>
        </w:tc>
      </w:tr>
      <w:tr w:rsidR="00FC2D1A" w14:paraId="58A09860" w14:textId="77777777" w:rsidTr="00FC2D1A">
        <w:tc>
          <w:tcPr>
            <w:tcW w:w="3544" w:type="dxa"/>
          </w:tcPr>
          <w:p w14:paraId="2B35C5C4" w14:textId="77777777" w:rsidR="00FC2D1A" w:rsidRDefault="00FC2D1A" w:rsidP="00FC2D1A">
            <w:r>
              <w:t xml:space="preserve">De </w:t>
            </w:r>
            <w:proofErr w:type="spellStart"/>
            <w:r>
              <w:t>Sav</w:t>
            </w:r>
            <w:proofErr w:type="spellEnd"/>
            <w:r>
              <w:t xml:space="preserve">. Lohmanweg  </w:t>
            </w:r>
          </w:p>
        </w:tc>
        <w:tc>
          <w:tcPr>
            <w:tcW w:w="4105" w:type="dxa"/>
          </w:tcPr>
          <w:p w14:paraId="48F0CACB" w14:textId="77777777" w:rsidR="00FC2D1A" w:rsidRDefault="00D01962" w:rsidP="00D01962">
            <w:r>
              <w:t>144 woningen</w:t>
            </w:r>
          </w:p>
        </w:tc>
      </w:tr>
      <w:tr w:rsidR="00FC2D1A" w14:paraId="1F5C185F" w14:textId="77777777" w:rsidTr="00FC2D1A">
        <w:tc>
          <w:tcPr>
            <w:tcW w:w="3544" w:type="dxa"/>
          </w:tcPr>
          <w:p w14:paraId="2402716B" w14:textId="77777777" w:rsidR="00FC2D1A" w:rsidRDefault="00FC2D1A" w:rsidP="00FC2D1A">
            <w:proofErr w:type="spellStart"/>
            <w:r>
              <w:t>Corn</w:t>
            </w:r>
            <w:proofErr w:type="spellEnd"/>
            <w:r>
              <w:t>. Smitstraat e.o.</w:t>
            </w:r>
          </w:p>
        </w:tc>
        <w:tc>
          <w:tcPr>
            <w:tcW w:w="4105" w:type="dxa"/>
          </w:tcPr>
          <w:p w14:paraId="0CC5E7D9" w14:textId="77777777" w:rsidR="00FC2D1A" w:rsidRDefault="00FC2D1A" w:rsidP="002A3040">
            <w:r>
              <w:t>24 woningen</w:t>
            </w:r>
          </w:p>
        </w:tc>
      </w:tr>
      <w:tr w:rsidR="00FC2D1A" w14:paraId="5B26E68A" w14:textId="77777777" w:rsidTr="00FC2D1A">
        <w:tc>
          <w:tcPr>
            <w:tcW w:w="3544" w:type="dxa"/>
          </w:tcPr>
          <w:p w14:paraId="2B1FB241" w14:textId="77777777" w:rsidR="00FC2D1A" w:rsidRDefault="00FC2D1A" w:rsidP="002A3040">
            <w:r>
              <w:t>Korenbloemstraat</w:t>
            </w:r>
          </w:p>
        </w:tc>
        <w:tc>
          <w:tcPr>
            <w:tcW w:w="4105" w:type="dxa"/>
          </w:tcPr>
          <w:p w14:paraId="7A0634DC" w14:textId="77777777" w:rsidR="00FC2D1A" w:rsidRDefault="00FC2D1A" w:rsidP="002A3040">
            <w:r>
              <w:t>75 woningen</w:t>
            </w:r>
          </w:p>
        </w:tc>
      </w:tr>
      <w:tr w:rsidR="00FC2D1A" w14:paraId="0F44E858" w14:textId="77777777" w:rsidTr="00FC2D1A">
        <w:tc>
          <w:tcPr>
            <w:tcW w:w="3544" w:type="dxa"/>
          </w:tcPr>
          <w:p w14:paraId="7E671778" w14:textId="77777777" w:rsidR="00FC2D1A" w:rsidRDefault="00FC2D1A" w:rsidP="002A3040">
            <w:r>
              <w:t>Rietvoorn</w:t>
            </w:r>
          </w:p>
        </w:tc>
        <w:tc>
          <w:tcPr>
            <w:tcW w:w="4105" w:type="dxa"/>
          </w:tcPr>
          <w:p w14:paraId="53FC408B" w14:textId="77777777" w:rsidR="00FC2D1A" w:rsidRDefault="00FC2D1A" w:rsidP="002A3040">
            <w:r>
              <w:t>36 woningen</w:t>
            </w:r>
          </w:p>
        </w:tc>
      </w:tr>
      <w:tr w:rsidR="00FC2D1A" w14:paraId="6DC2030E" w14:textId="77777777" w:rsidTr="00FC2D1A">
        <w:tc>
          <w:tcPr>
            <w:tcW w:w="3544" w:type="dxa"/>
          </w:tcPr>
          <w:p w14:paraId="61923542" w14:textId="77777777" w:rsidR="00FC2D1A" w:rsidRDefault="00FC2D1A" w:rsidP="002A3040">
            <w:r>
              <w:t xml:space="preserve">Rijnstraat </w:t>
            </w:r>
          </w:p>
        </w:tc>
        <w:tc>
          <w:tcPr>
            <w:tcW w:w="4105" w:type="dxa"/>
          </w:tcPr>
          <w:p w14:paraId="41121525" w14:textId="77777777" w:rsidR="00FC2D1A" w:rsidRDefault="00FC2D1A" w:rsidP="002A3040">
            <w:r>
              <w:t>33 woningen</w:t>
            </w:r>
          </w:p>
        </w:tc>
      </w:tr>
      <w:tr w:rsidR="00FC2D1A" w14:paraId="0F690229" w14:textId="77777777" w:rsidTr="00FC2D1A">
        <w:tc>
          <w:tcPr>
            <w:tcW w:w="3544" w:type="dxa"/>
          </w:tcPr>
          <w:p w14:paraId="46FC2F64" w14:textId="77777777" w:rsidR="00FC2D1A" w:rsidRDefault="00FC2D1A" w:rsidP="002A3040">
            <w:r>
              <w:t>Groene Zoom</w:t>
            </w:r>
          </w:p>
        </w:tc>
        <w:tc>
          <w:tcPr>
            <w:tcW w:w="4105" w:type="dxa"/>
          </w:tcPr>
          <w:p w14:paraId="53B2DA2E" w14:textId="77777777" w:rsidR="00FC2D1A" w:rsidRDefault="00FC2D1A" w:rsidP="002A3040">
            <w:r>
              <w:t>4 woningen</w:t>
            </w:r>
          </w:p>
        </w:tc>
      </w:tr>
      <w:tr w:rsidR="00FC2D1A" w14:paraId="066CB602" w14:textId="77777777" w:rsidTr="00FC2D1A">
        <w:tc>
          <w:tcPr>
            <w:tcW w:w="3544" w:type="dxa"/>
          </w:tcPr>
          <w:p w14:paraId="4A84A481" w14:textId="77777777" w:rsidR="00FC2D1A" w:rsidRDefault="00FC2D1A" w:rsidP="002A3040">
            <w:r>
              <w:t>Rembrandtlaan</w:t>
            </w:r>
          </w:p>
        </w:tc>
        <w:tc>
          <w:tcPr>
            <w:tcW w:w="4105" w:type="dxa"/>
          </w:tcPr>
          <w:p w14:paraId="5DA7B8E3" w14:textId="77777777" w:rsidR="00FC2D1A" w:rsidRDefault="006F74A8" w:rsidP="002A3040">
            <w:r>
              <w:t>52 woningen</w:t>
            </w:r>
          </w:p>
        </w:tc>
      </w:tr>
      <w:tr w:rsidR="006F74A8" w14:paraId="41D27A50" w14:textId="77777777" w:rsidTr="00FC2D1A">
        <w:tc>
          <w:tcPr>
            <w:tcW w:w="3544" w:type="dxa"/>
          </w:tcPr>
          <w:p w14:paraId="138F2087" w14:textId="77777777" w:rsidR="006F74A8" w:rsidRDefault="006F74A8" w:rsidP="002A3040">
            <w:r>
              <w:t>H.J. de Haanstraat</w:t>
            </w:r>
          </w:p>
        </w:tc>
        <w:tc>
          <w:tcPr>
            <w:tcW w:w="4105" w:type="dxa"/>
          </w:tcPr>
          <w:p w14:paraId="74DF9E8D" w14:textId="77777777" w:rsidR="006F74A8" w:rsidRDefault="006F74A8" w:rsidP="002A3040">
            <w:r>
              <w:t>42 woningen</w:t>
            </w:r>
          </w:p>
        </w:tc>
      </w:tr>
      <w:tr w:rsidR="006F74A8" w14:paraId="12C3353F" w14:textId="77777777" w:rsidTr="00FC2D1A">
        <w:tc>
          <w:tcPr>
            <w:tcW w:w="3544" w:type="dxa"/>
          </w:tcPr>
          <w:p w14:paraId="42AB28E7" w14:textId="77777777" w:rsidR="006F74A8" w:rsidRDefault="006F74A8" w:rsidP="002A3040">
            <w:r>
              <w:t>Wolfspoot</w:t>
            </w:r>
          </w:p>
        </w:tc>
        <w:tc>
          <w:tcPr>
            <w:tcW w:w="4105" w:type="dxa"/>
          </w:tcPr>
          <w:p w14:paraId="3B4CF797" w14:textId="77777777" w:rsidR="006F74A8" w:rsidRDefault="006F74A8" w:rsidP="002A3040">
            <w:r>
              <w:t>35 woningen</w:t>
            </w:r>
          </w:p>
        </w:tc>
      </w:tr>
      <w:tr w:rsidR="006F74A8" w14:paraId="3BDC76DC" w14:textId="77777777" w:rsidTr="00FC2D1A">
        <w:tc>
          <w:tcPr>
            <w:tcW w:w="3544" w:type="dxa"/>
          </w:tcPr>
          <w:p w14:paraId="65DE801C" w14:textId="77777777" w:rsidR="006F74A8" w:rsidRDefault="006F74A8" w:rsidP="002A3040">
            <w:r>
              <w:t>Eksterstraat</w:t>
            </w:r>
          </w:p>
        </w:tc>
        <w:tc>
          <w:tcPr>
            <w:tcW w:w="4105" w:type="dxa"/>
          </w:tcPr>
          <w:p w14:paraId="23E5A44A" w14:textId="77777777" w:rsidR="006F74A8" w:rsidRDefault="006F74A8" w:rsidP="002A3040">
            <w:r>
              <w:t>42 woningen</w:t>
            </w:r>
          </w:p>
        </w:tc>
      </w:tr>
      <w:tr w:rsidR="006F74A8" w14:paraId="778165B3" w14:textId="77777777" w:rsidTr="00FC2D1A">
        <w:tc>
          <w:tcPr>
            <w:tcW w:w="3544" w:type="dxa"/>
          </w:tcPr>
          <w:p w14:paraId="13C8B6CF" w14:textId="77777777" w:rsidR="006F74A8" w:rsidRDefault="006F74A8" w:rsidP="002A3040">
            <w:r>
              <w:t>Polderstraat</w:t>
            </w:r>
          </w:p>
        </w:tc>
        <w:tc>
          <w:tcPr>
            <w:tcW w:w="4105" w:type="dxa"/>
          </w:tcPr>
          <w:p w14:paraId="1619D15C" w14:textId="77777777" w:rsidR="006F74A8" w:rsidRDefault="006F74A8" w:rsidP="002A3040">
            <w:r>
              <w:t>6 woningen</w:t>
            </w:r>
          </w:p>
        </w:tc>
      </w:tr>
      <w:tr w:rsidR="006F74A8" w14:paraId="1E56317B" w14:textId="77777777" w:rsidTr="00FC2D1A">
        <w:tc>
          <w:tcPr>
            <w:tcW w:w="3544" w:type="dxa"/>
          </w:tcPr>
          <w:p w14:paraId="3A277578" w14:textId="77777777" w:rsidR="006F74A8" w:rsidRDefault="006F74A8" w:rsidP="002A3040">
            <w:proofErr w:type="spellStart"/>
            <w:r>
              <w:t>Baandersstraat</w:t>
            </w:r>
            <w:proofErr w:type="spellEnd"/>
          </w:p>
        </w:tc>
        <w:tc>
          <w:tcPr>
            <w:tcW w:w="4105" w:type="dxa"/>
          </w:tcPr>
          <w:p w14:paraId="16D256BC" w14:textId="77777777" w:rsidR="006F74A8" w:rsidRDefault="006F74A8" w:rsidP="002A3040">
            <w:r>
              <w:t>22 woningen</w:t>
            </w:r>
          </w:p>
        </w:tc>
      </w:tr>
    </w:tbl>
    <w:p w14:paraId="6BB50496" w14:textId="77777777" w:rsidR="00FC2D1A" w:rsidRDefault="00FC2D1A" w:rsidP="002A3040">
      <w:pPr>
        <w:ind w:left="708"/>
      </w:pPr>
    </w:p>
    <w:p w14:paraId="6AB6E5CB" w14:textId="77777777" w:rsidR="00621030" w:rsidRDefault="00621030" w:rsidP="00B85824">
      <w:pPr>
        <w:pStyle w:val="Lijstalinea"/>
      </w:pPr>
    </w:p>
    <w:p w14:paraId="059A8965" w14:textId="77777777" w:rsidR="00E508FC" w:rsidRDefault="00E508FC" w:rsidP="005E24E0">
      <w:pPr>
        <w:rPr>
          <w:b/>
        </w:rPr>
      </w:pPr>
      <w:r w:rsidRPr="00B85824">
        <w:rPr>
          <w:b/>
        </w:rPr>
        <w:t>Leefbaarheid</w:t>
      </w:r>
      <w:r w:rsidR="005719C6" w:rsidRPr="00B85824">
        <w:rPr>
          <w:b/>
        </w:rPr>
        <w:t xml:space="preserve"> en sociaal domein</w:t>
      </w:r>
    </w:p>
    <w:p w14:paraId="1495A9B5" w14:textId="77777777" w:rsidR="00B85824" w:rsidRDefault="00B85824" w:rsidP="00614FF7">
      <w:pPr>
        <w:ind w:firstLine="360"/>
        <w:rPr>
          <w:b/>
        </w:rPr>
      </w:pPr>
    </w:p>
    <w:p w14:paraId="0C98690D" w14:textId="6A776DBE" w:rsidR="002B07B0" w:rsidRDefault="00A46630" w:rsidP="002B07B0">
      <w:pPr>
        <w:ind w:left="708"/>
      </w:pPr>
      <w:r w:rsidRPr="00A46630">
        <w:t xml:space="preserve">Woonkracht10 gelooft in de kracht en zelfredzaamheid van mensen. Vanuit de plicht om te voorzien in ongestoord woongenot voor huurders neemt Woonkracht10 haar verantwoordelijkheid. Hierbij wordt altijd gestreefd naar de grootst mogelijke betrokkenheid van huurders. Bij overlast wordt ingezet op conflicthantering aan de voordeur. In een vroeg stadium biedt Woonkracht10 Buurtbemiddeling aan en worden huurders gestimuleerd zelf </w:t>
      </w:r>
      <w:r w:rsidRPr="00A46630">
        <w:lastRenderedPageBreak/>
        <w:t xml:space="preserve">hun conflicten op te lossen. Alblasserdam heeft geen sociale wijkteams. Alblasserdam beschouwt alle professionals binnen het dorp als het sociaal netwerk. Woonkracht10 maakt onderdeel uit van het zorgnetwerk. Jaarlijks wordt deze werkwijze, de uitvoering vanuit het zorgnetwerk, geëvalueerd. Woonkracht10 is alleen daar actief waar nodig. Rustige buurten waar de bewoners zelf goed in staat zijn de leefbaarheid op peil te houden en in staat zijn problemen zelf aan te pakken, is Woonkracht10 niet nodig. In buurten waar de kwaliteit van wonen onder druk staat is Woonkracht10 proactief en probleemoplossend, dit noemt Woonkracht10 </w:t>
      </w:r>
      <w:proofErr w:type="spellStart"/>
      <w:r w:rsidRPr="00A46630">
        <w:t>DoeMee</w:t>
      </w:r>
      <w:proofErr w:type="spellEnd"/>
      <w:r w:rsidRPr="00A46630">
        <w:t>-locaties. Woonkracht10 biedt hier niet alleen generieke inzet van leefbaarheidswerkzaamheden maar ook specifieke inzet van tijd, geld en middelen, gericht op resultaat. De komende periode is er in de Nic. Beetsstraat (</w:t>
      </w:r>
      <w:proofErr w:type="spellStart"/>
      <w:r w:rsidRPr="00A46630">
        <w:t>DoeMee</w:t>
      </w:r>
      <w:proofErr w:type="spellEnd"/>
      <w:r w:rsidRPr="00A46630">
        <w:t>-locatie) extra aandacht voor de kwaliteit en leefbaarheid. Hierbij bundelen we de krachten en gaan wij de verbinding aan met de gemeente, de huurdervertegenwoordiging, zorg- en welzijnsinstanties en buurtbewoners. In de complexen waar sprake is van overlast zal Woonkracht10 vanuit haar rol en wettelijke taak, in samenwerking met bewoners en partners, actie ondernemen. In gezamenlijkheid wordt geïnventariseerd naar welke gebieden de aandacht nog verder uitgaat</w:t>
      </w:r>
      <w:r>
        <w:t xml:space="preserve"> (hierbij kan gedacht worden aan De</w:t>
      </w:r>
      <w:r w:rsidRPr="00A46630">
        <w:t xml:space="preserve"> </w:t>
      </w:r>
      <w:proofErr w:type="spellStart"/>
      <w:r w:rsidRPr="00A46630">
        <w:t>Sav</w:t>
      </w:r>
      <w:proofErr w:type="spellEnd"/>
      <w:r w:rsidRPr="00A46630">
        <w:t xml:space="preserve">. Lohmanweg, Rijnstraat e.o., Maasstraat, P. de </w:t>
      </w:r>
      <w:proofErr w:type="spellStart"/>
      <w:r w:rsidRPr="00A46630">
        <w:t>Hoochplaats</w:t>
      </w:r>
      <w:proofErr w:type="spellEnd"/>
      <w:r w:rsidRPr="00A46630">
        <w:t xml:space="preserve"> en de Oranjebuurt).</w:t>
      </w:r>
      <w:r w:rsidR="00A8246F">
        <w:t xml:space="preserve"> </w:t>
      </w:r>
      <w:r w:rsidRPr="00A46630">
        <w:t>Doel van de samenwerking is vooral samen de juiste dingen te doen. Woonkracht10 en samenwerkingspartners gaan actief het gesprek met elkaar aan en wisselen waar mogelijk onderling informatie uit. Duidelijke procesafspraken over de samenwerking leiden tot concrete acties die voor alle partijen reëel en uitvoerbaar zijn.</w:t>
      </w:r>
    </w:p>
    <w:p w14:paraId="1C473B61" w14:textId="77777777" w:rsidR="002B07B0" w:rsidRDefault="002B07B0" w:rsidP="000A1A07"/>
    <w:p w14:paraId="0439207F" w14:textId="6CF8754C" w:rsidR="000752C3" w:rsidRPr="00370B0D" w:rsidRDefault="008D5CA0" w:rsidP="000A1A07">
      <w:pPr>
        <w:rPr>
          <w:b/>
        </w:rPr>
      </w:pPr>
      <w:r>
        <w:rPr>
          <w:b/>
        </w:rPr>
        <w:t>Huisvesting en s</w:t>
      </w:r>
      <w:r w:rsidR="00334FB9" w:rsidRPr="00370B0D">
        <w:rPr>
          <w:b/>
        </w:rPr>
        <w:t>preiding statushouders</w:t>
      </w:r>
    </w:p>
    <w:p w14:paraId="39E7CC61" w14:textId="77777777" w:rsidR="002B07B0" w:rsidRDefault="002B07B0" w:rsidP="005F2FFF">
      <w:pPr>
        <w:ind w:left="705"/>
      </w:pPr>
    </w:p>
    <w:p w14:paraId="35D307F4" w14:textId="7E6B3AA0" w:rsidR="00E20EFD" w:rsidRDefault="00E76F95" w:rsidP="005F2FFF">
      <w:pPr>
        <w:ind w:left="705"/>
      </w:pPr>
      <w:r>
        <w:t xml:space="preserve">Passend toewijzen is een belemmerende factor bij het huisvesten van statushouders. Hierdoor is huisvesting niet in alle complexen mogelijk. </w:t>
      </w:r>
      <w:r w:rsidR="00E20EFD" w:rsidRPr="00E20EFD">
        <w:t>De inspanning om een geschikte woning te vinden voor een statushouder wordt nadrukkelijk geleverd.</w:t>
      </w:r>
    </w:p>
    <w:p w14:paraId="064C85B7" w14:textId="1C6A1170" w:rsidR="0059679F" w:rsidRDefault="00E76F95" w:rsidP="005F2FFF">
      <w:pPr>
        <w:ind w:left="705"/>
      </w:pPr>
      <w:r>
        <w:t>De</w:t>
      </w:r>
      <w:r w:rsidR="005F2FFF">
        <w:t xml:space="preserve"> gemeente en Woonkracht10 z</w:t>
      </w:r>
      <w:r w:rsidR="00AB6CC8">
        <w:t>ullen</w:t>
      </w:r>
      <w:r w:rsidR="005F2FFF">
        <w:t xml:space="preserve"> de uitwerking van </w:t>
      </w:r>
      <w:r w:rsidR="0035350F">
        <w:t xml:space="preserve">de huisvesting van statushouders </w:t>
      </w:r>
      <w:r w:rsidR="00AB6CC8">
        <w:t>regelmatig (</w:t>
      </w:r>
      <w:r w:rsidR="00BE30C0">
        <w:t>maar minstens twee keer per jaar met de rapportage van Stichting Woonkeus)</w:t>
      </w:r>
      <w:r w:rsidR="00AB6CC8">
        <w:t xml:space="preserve"> </w:t>
      </w:r>
      <w:r w:rsidR="0035350F">
        <w:t xml:space="preserve">monitoren. </w:t>
      </w:r>
    </w:p>
    <w:p w14:paraId="40B26D83" w14:textId="77777777" w:rsidR="00C52988" w:rsidRDefault="00C52988" w:rsidP="005F2FFF">
      <w:pPr>
        <w:ind w:left="705"/>
      </w:pPr>
    </w:p>
    <w:p w14:paraId="181FFEA1" w14:textId="77777777" w:rsidR="00C52988" w:rsidRDefault="00C52988" w:rsidP="005F2FFF">
      <w:pPr>
        <w:ind w:left="705"/>
      </w:pPr>
    </w:p>
    <w:p w14:paraId="1E781745" w14:textId="77777777" w:rsidR="00C52988" w:rsidRPr="005F2FFF" w:rsidRDefault="00C52988" w:rsidP="005F2FFF">
      <w:pPr>
        <w:ind w:left="705"/>
      </w:pPr>
    </w:p>
    <w:sectPr w:rsidR="00C52988" w:rsidRPr="005F2FFF" w:rsidSect="00DC5F3B">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8E270" w14:textId="77777777" w:rsidR="00BD401C" w:rsidRDefault="00BD401C" w:rsidP="00310A8A">
      <w:pPr>
        <w:spacing w:line="240" w:lineRule="auto"/>
      </w:pPr>
      <w:r>
        <w:separator/>
      </w:r>
    </w:p>
  </w:endnote>
  <w:endnote w:type="continuationSeparator" w:id="0">
    <w:p w14:paraId="6CB1B4E8" w14:textId="77777777" w:rsidR="00BD401C" w:rsidRDefault="00BD401C" w:rsidP="0031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5D71" w14:textId="77777777" w:rsidR="00BD401C" w:rsidRDefault="00BD401C" w:rsidP="00310A8A">
      <w:pPr>
        <w:spacing w:line="240" w:lineRule="auto"/>
      </w:pPr>
      <w:r>
        <w:separator/>
      </w:r>
    </w:p>
  </w:footnote>
  <w:footnote w:type="continuationSeparator" w:id="0">
    <w:p w14:paraId="241D60F7" w14:textId="77777777" w:rsidR="00BD401C" w:rsidRDefault="00BD401C" w:rsidP="00310A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3626"/>
      <w:docPartObj>
        <w:docPartGallery w:val="Watermarks"/>
        <w:docPartUnique/>
      </w:docPartObj>
    </w:sdtPr>
    <w:sdtEndPr/>
    <w:sdtContent>
      <w:p w14:paraId="6492161B" w14:textId="77777777" w:rsidR="00BD401C" w:rsidRDefault="001705D9">
        <w:pPr>
          <w:pStyle w:val="Koptekst"/>
        </w:pPr>
        <w:r>
          <w:pict w14:anchorId="03283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3CD"/>
    <w:multiLevelType w:val="hybridMultilevel"/>
    <w:tmpl w:val="3E56D7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2766A"/>
    <w:multiLevelType w:val="hybridMultilevel"/>
    <w:tmpl w:val="AD0C14E8"/>
    <w:lvl w:ilvl="0" w:tplc="3320AB92">
      <w:start w:val="20"/>
      <w:numFmt w:val="bullet"/>
      <w:lvlText w:val=""/>
      <w:lvlJc w:val="left"/>
      <w:pPr>
        <w:ind w:left="1800" w:hanging="360"/>
      </w:pPr>
      <w:rPr>
        <w:rFonts w:ascii="Symbol" w:eastAsiaTheme="minorHAnsi" w:hAnsi="Symbol"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14AA7017"/>
    <w:multiLevelType w:val="hybridMultilevel"/>
    <w:tmpl w:val="FF783A14"/>
    <w:lvl w:ilvl="0" w:tplc="A6FCA1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4A47BC"/>
    <w:multiLevelType w:val="hybridMultilevel"/>
    <w:tmpl w:val="5D62DC00"/>
    <w:lvl w:ilvl="0" w:tplc="A6FCA1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473463"/>
    <w:multiLevelType w:val="hybridMultilevel"/>
    <w:tmpl w:val="93D6FC9E"/>
    <w:lvl w:ilvl="0" w:tplc="EEB8A1F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5A3BE9"/>
    <w:multiLevelType w:val="hybridMultilevel"/>
    <w:tmpl w:val="4224B0B8"/>
    <w:lvl w:ilvl="0" w:tplc="91828F56">
      <w:numFmt w:val="bullet"/>
      <w:lvlText w:val=""/>
      <w:lvlJc w:val="left"/>
      <w:pPr>
        <w:ind w:left="1770" w:hanging="360"/>
      </w:pPr>
      <w:rPr>
        <w:rFonts w:ascii="Symbol" w:eastAsiaTheme="minorHAnsi" w:hAnsi="Symbol"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6" w15:restartNumberingAfterBreak="0">
    <w:nsid w:val="46754CDE"/>
    <w:multiLevelType w:val="hybridMultilevel"/>
    <w:tmpl w:val="8468329A"/>
    <w:lvl w:ilvl="0" w:tplc="87229BD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96200E5"/>
    <w:multiLevelType w:val="hybridMultilevel"/>
    <w:tmpl w:val="0A885398"/>
    <w:lvl w:ilvl="0" w:tplc="A6FCA16A">
      <w:numFmt w:val="bullet"/>
      <w:lvlText w:val="-"/>
      <w:lvlJc w:val="left"/>
      <w:pPr>
        <w:ind w:left="720" w:hanging="360"/>
      </w:pPr>
      <w:rPr>
        <w:rFonts w:ascii="Calibri" w:eastAsiaTheme="minorHAnsi" w:hAnsi="Calibri" w:cstheme="minorBidi" w:hint="default"/>
      </w:rPr>
    </w:lvl>
    <w:lvl w:ilvl="1" w:tplc="04130017">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925D5"/>
    <w:multiLevelType w:val="hybridMultilevel"/>
    <w:tmpl w:val="A75639A8"/>
    <w:lvl w:ilvl="0" w:tplc="EBBC1A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AE4C90"/>
    <w:multiLevelType w:val="hybridMultilevel"/>
    <w:tmpl w:val="9F36522A"/>
    <w:lvl w:ilvl="0" w:tplc="BD7022E2">
      <w:start w:val="4"/>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0" w15:restartNumberingAfterBreak="0">
    <w:nsid w:val="63FA2D1F"/>
    <w:multiLevelType w:val="hybridMultilevel"/>
    <w:tmpl w:val="765C1556"/>
    <w:lvl w:ilvl="0" w:tplc="A6FCA16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1" w15:restartNumberingAfterBreak="0">
    <w:nsid w:val="64E040A3"/>
    <w:multiLevelType w:val="hybridMultilevel"/>
    <w:tmpl w:val="D65C1188"/>
    <w:lvl w:ilvl="0" w:tplc="A6FCA16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F645B7"/>
    <w:multiLevelType w:val="hybridMultilevel"/>
    <w:tmpl w:val="347012B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D05154"/>
    <w:multiLevelType w:val="hybridMultilevel"/>
    <w:tmpl w:val="92EA981A"/>
    <w:lvl w:ilvl="0" w:tplc="7908A50E">
      <w:start w:val="1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151484"/>
    <w:multiLevelType w:val="hybridMultilevel"/>
    <w:tmpl w:val="2E467A00"/>
    <w:lvl w:ilvl="0" w:tplc="DDD0238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11"/>
  </w:num>
  <w:num w:numId="3">
    <w:abstractNumId w:val="12"/>
  </w:num>
  <w:num w:numId="4">
    <w:abstractNumId w:val="7"/>
  </w:num>
  <w:num w:numId="5">
    <w:abstractNumId w:val="0"/>
  </w:num>
  <w:num w:numId="6">
    <w:abstractNumId w:val="2"/>
  </w:num>
  <w:num w:numId="7">
    <w:abstractNumId w:val="9"/>
  </w:num>
  <w:num w:numId="8">
    <w:abstractNumId w:val="13"/>
  </w:num>
  <w:num w:numId="9">
    <w:abstractNumId w:val="6"/>
  </w:num>
  <w:num w:numId="10">
    <w:abstractNumId w:val="14"/>
  </w:num>
  <w:num w:numId="11">
    <w:abstractNumId w:val="4"/>
  </w:num>
  <w:num w:numId="12">
    <w:abstractNumId w:val="1"/>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85"/>
    <w:rsid w:val="000012BE"/>
    <w:rsid w:val="000063C6"/>
    <w:rsid w:val="000108C8"/>
    <w:rsid w:val="00026CE8"/>
    <w:rsid w:val="00067B01"/>
    <w:rsid w:val="0007506B"/>
    <w:rsid w:val="000752C3"/>
    <w:rsid w:val="00080C31"/>
    <w:rsid w:val="00086856"/>
    <w:rsid w:val="0009153E"/>
    <w:rsid w:val="0009207E"/>
    <w:rsid w:val="00096929"/>
    <w:rsid w:val="00096DEA"/>
    <w:rsid w:val="000A1A07"/>
    <w:rsid w:val="000A7797"/>
    <w:rsid w:val="000B204F"/>
    <w:rsid w:val="000C0508"/>
    <w:rsid w:val="000C6C2F"/>
    <w:rsid w:val="000D104A"/>
    <w:rsid w:val="000D1DCF"/>
    <w:rsid w:val="000F280C"/>
    <w:rsid w:val="000F299F"/>
    <w:rsid w:val="000F4DCC"/>
    <w:rsid w:val="001122A0"/>
    <w:rsid w:val="001237A0"/>
    <w:rsid w:val="00125BC3"/>
    <w:rsid w:val="00157223"/>
    <w:rsid w:val="001705D9"/>
    <w:rsid w:val="00173F1C"/>
    <w:rsid w:val="00186C80"/>
    <w:rsid w:val="001949A4"/>
    <w:rsid w:val="00195549"/>
    <w:rsid w:val="00195A9E"/>
    <w:rsid w:val="001A3D8D"/>
    <w:rsid w:val="001B6C5B"/>
    <w:rsid w:val="001C0C9A"/>
    <w:rsid w:val="001D17EB"/>
    <w:rsid w:val="001D1C78"/>
    <w:rsid w:val="001D5108"/>
    <w:rsid w:val="001D534F"/>
    <w:rsid w:val="001E12CC"/>
    <w:rsid w:val="001F20D0"/>
    <w:rsid w:val="002119F3"/>
    <w:rsid w:val="002135C4"/>
    <w:rsid w:val="00217C7F"/>
    <w:rsid w:val="00225DB9"/>
    <w:rsid w:val="00250BCE"/>
    <w:rsid w:val="002645A5"/>
    <w:rsid w:val="00270D94"/>
    <w:rsid w:val="002806F5"/>
    <w:rsid w:val="002809CB"/>
    <w:rsid w:val="00283541"/>
    <w:rsid w:val="00286D23"/>
    <w:rsid w:val="002927C1"/>
    <w:rsid w:val="002A1C25"/>
    <w:rsid w:val="002A3040"/>
    <w:rsid w:val="002A386E"/>
    <w:rsid w:val="002B07B0"/>
    <w:rsid w:val="002C0E62"/>
    <w:rsid w:val="002C1BC0"/>
    <w:rsid w:val="002D124A"/>
    <w:rsid w:val="002E259A"/>
    <w:rsid w:val="002E6689"/>
    <w:rsid w:val="002E681B"/>
    <w:rsid w:val="002E773E"/>
    <w:rsid w:val="002F13FC"/>
    <w:rsid w:val="002F5D9B"/>
    <w:rsid w:val="002F77BD"/>
    <w:rsid w:val="00302BCE"/>
    <w:rsid w:val="003100A5"/>
    <w:rsid w:val="00310A8A"/>
    <w:rsid w:val="0031228A"/>
    <w:rsid w:val="003234A1"/>
    <w:rsid w:val="0032621E"/>
    <w:rsid w:val="00330A80"/>
    <w:rsid w:val="0033436F"/>
    <w:rsid w:val="00334FB9"/>
    <w:rsid w:val="00352DEE"/>
    <w:rsid w:val="0035350F"/>
    <w:rsid w:val="00361E9E"/>
    <w:rsid w:val="00370B0D"/>
    <w:rsid w:val="00374AC6"/>
    <w:rsid w:val="00376261"/>
    <w:rsid w:val="00391A90"/>
    <w:rsid w:val="003A592F"/>
    <w:rsid w:val="003A5BB4"/>
    <w:rsid w:val="003D6A2C"/>
    <w:rsid w:val="003E433A"/>
    <w:rsid w:val="003F357B"/>
    <w:rsid w:val="003F5306"/>
    <w:rsid w:val="00411A34"/>
    <w:rsid w:val="0042748A"/>
    <w:rsid w:val="004340A2"/>
    <w:rsid w:val="004372C5"/>
    <w:rsid w:val="004403DE"/>
    <w:rsid w:val="00441F86"/>
    <w:rsid w:val="00445B2C"/>
    <w:rsid w:val="0044762D"/>
    <w:rsid w:val="00455F68"/>
    <w:rsid w:val="00462214"/>
    <w:rsid w:val="0046705E"/>
    <w:rsid w:val="004700EF"/>
    <w:rsid w:val="00473B3E"/>
    <w:rsid w:val="00483B52"/>
    <w:rsid w:val="00490094"/>
    <w:rsid w:val="00492219"/>
    <w:rsid w:val="0049711D"/>
    <w:rsid w:val="004A0D40"/>
    <w:rsid w:val="004E4B79"/>
    <w:rsid w:val="004E56AA"/>
    <w:rsid w:val="004F3878"/>
    <w:rsid w:val="004F43DB"/>
    <w:rsid w:val="004F4C6C"/>
    <w:rsid w:val="004F59B7"/>
    <w:rsid w:val="00507F35"/>
    <w:rsid w:val="00525BA7"/>
    <w:rsid w:val="00537E16"/>
    <w:rsid w:val="00560A40"/>
    <w:rsid w:val="00562336"/>
    <w:rsid w:val="0056636A"/>
    <w:rsid w:val="005719C6"/>
    <w:rsid w:val="00590F76"/>
    <w:rsid w:val="0059679F"/>
    <w:rsid w:val="005A7888"/>
    <w:rsid w:val="005C5548"/>
    <w:rsid w:val="005D68A3"/>
    <w:rsid w:val="005E0C18"/>
    <w:rsid w:val="005E24E0"/>
    <w:rsid w:val="005E534D"/>
    <w:rsid w:val="005E5EF4"/>
    <w:rsid w:val="005F03B9"/>
    <w:rsid w:val="005F060D"/>
    <w:rsid w:val="005F22F6"/>
    <w:rsid w:val="005F2FFF"/>
    <w:rsid w:val="005F4EE9"/>
    <w:rsid w:val="006001E8"/>
    <w:rsid w:val="0061047B"/>
    <w:rsid w:val="00614D9F"/>
    <w:rsid w:val="00614FF7"/>
    <w:rsid w:val="00621030"/>
    <w:rsid w:val="006219F9"/>
    <w:rsid w:val="0062465F"/>
    <w:rsid w:val="00646415"/>
    <w:rsid w:val="0065181E"/>
    <w:rsid w:val="006531E8"/>
    <w:rsid w:val="00654281"/>
    <w:rsid w:val="00680247"/>
    <w:rsid w:val="006802EE"/>
    <w:rsid w:val="00683EB7"/>
    <w:rsid w:val="006931A6"/>
    <w:rsid w:val="00693CB2"/>
    <w:rsid w:val="006A6AB1"/>
    <w:rsid w:val="006C28B2"/>
    <w:rsid w:val="006C2E36"/>
    <w:rsid w:val="006C475E"/>
    <w:rsid w:val="006C5B9E"/>
    <w:rsid w:val="006D40B3"/>
    <w:rsid w:val="006D6B65"/>
    <w:rsid w:val="006E623C"/>
    <w:rsid w:val="006F275E"/>
    <w:rsid w:val="006F74A8"/>
    <w:rsid w:val="00700DE1"/>
    <w:rsid w:val="00701704"/>
    <w:rsid w:val="007039D1"/>
    <w:rsid w:val="00711484"/>
    <w:rsid w:val="007169EA"/>
    <w:rsid w:val="00721BEC"/>
    <w:rsid w:val="0073195E"/>
    <w:rsid w:val="00732D70"/>
    <w:rsid w:val="00760EA6"/>
    <w:rsid w:val="007610CC"/>
    <w:rsid w:val="007618F2"/>
    <w:rsid w:val="00787CA4"/>
    <w:rsid w:val="007A46AF"/>
    <w:rsid w:val="007A594C"/>
    <w:rsid w:val="007B284E"/>
    <w:rsid w:val="007C0236"/>
    <w:rsid w:val="007D07C5"/>
    <w:rsid w:val="007E3EC3"/>
    <w:rsid w:val="007E7EDE"/>
    <w:rsid w:val="007E7FD4"/>
    <w:rsid w:val="007F6FD1"/>
    <w:rsid w:val="0083069E"/>
    <w:rsid w:val="00841B7A"/>
    <w:rsid w:val="00847402"/>
    <w:rsid w:val="00847B61"/>
    <w:rsid w:val="008573C4"/>
    <w:rsid w:val="008925AA"/>
    <w:rsid w:val="008954BE"/>
    <w:rsid w:val="0089637A"/>
    <w:rsid w:val="008A3154"/>
    <w:rsid w:val="008A3F3C"/>
    <w:rsid w:val="008B4317"/>
    <w:rsid w:val="008B5502"/>
    <w:rsid w:val="008C07C9"/>
    <w:rsid w:val="008C3A1C"/>
    <w:rsid w:val="008D160B"/>
    <w:rsid w:val="008D2EAA"/>
    <w:rsid w:val="008D5CA0"/>
    <w:rsid w:val="008D621C"/>
    <w:rsid w:val="008E62C7"/>
    <w:rsid w:val="008E6AD5"/>
    <w:rsid w:val="008E7888"/>
    <w:rsid w:val="00900D96"/>
    <w:rsid w:val="0090292C"/>
    <w:rsid w:val="009070EE"/>
    <w:rsid w:val="00910B4A"/>
    <w:rsid w:val="00925565"/>
    <w:rsid w:val="00927B0D"/>
    <w:rsid w:val="009362AA"/>
    <w:rsid w:val="00946145"/>
    <w:rsid w:val="00962781"/>
    <w:rsid w:val="009848D7"/>
    <w:rsid w:val="00997C82"/>
    <w:rsid w:val="009A30E2"/>
    <w:rsid w:val="009D202D"/>
    <w:rsid w:val="009D4165"/>
    <w:rsid w:val="009D69EF"/>
    <w:rsid w:val="009E3E2A"/>
    <w:rsid w:val="009F3D14"/>
    <w:rsid w:val="00A012A9"/>
    <w:rsid w:val="00A023EE"/>
    <w:rsid w:val="00A02496"/>
    <w:rsid w:val="00A0418B"/>
    <w:rsid w:val="00A14B00"/>
    <w:rsid w:val="00A2070F"/>
    <w:rsid w:val="00A2304A"/>
    <w:rsid w:val="00A270D8"/>
    <w:rsid w:val="00A31DE4"/>
    <w:rsid w:val="00A46630"/>
    <w:rsid w:val="00A50249"/>
    <w:rsid w:val="00A66A2D"/>
    <w:rsid w:val="00A751F4"/>
    <w:rsid w:val="00A8246F"/>
    <w:rsid w:val="00A82F6A"/>
    <w:rsid w:val="00A92E3B"/>
    <w:rsid w:val="00A96245"/>
    <w:rsid w:val="00AB6CC8"/>
    <w:rsid w:val="00AF3233"/>
    <w:rsid w:val="00AF7FF8"/>
    <w:rsid w:val="00B16A92"/>
    <w:rsid w:val="00B16C83"/>
    <w:rsid w:val="00B275A0"/>
    <w:rsid w:val="00B3560A"/>
    <w:rsid w:val="00B63231"/>
    <w:rsid w:val="00B7305F"/>
    <w:rsid w:val="00B76749"/>
    <w:rsid w:val="00B77E3D"/>
    <w:rsid w:val="00B85824"/>
    <w:rsid w:val="00B92879"/>
    <w:rsid w:val="00B930BB"/>
    <w:rsid w:val="00B93ABC"/>
    <w:rsid w:val="00BA3731"/>
    <w:rsid w:val="00BC6E82"/>
    <w:rsid w:val="00BD2213"/>
    <w:rsid w:val="00BD401C"/>
    <w:rsid w:val="00BD784C"/>
    <w:rsid w:val="00BE30C0"/>
    <w:rsid w:val="00BE6EF4"/>
    <w:rsid w:val="00BF1615"/>
    <w:rsid w:val="00C1395F"/>
    <w:rsid w:val="00C146CD"/>
    <w:rsid w:val="00C252C0"/>
    <w:rsid w:val="00C37300"/>
    <w:rsid w:val="00C42FFE"/>
    <w:rsid w:val="00C50C9E"/>
    <w:rsid w:val="00C50FE2"/>
    <w:rsid w:val="00C52988"/>
    <w:rsid w:val="00C56ED5"/>
    <w:rsid w:val="00C60374"/>
    <w:rsid w:val="00C6324F"/>
    <w:rsid w:val="00C70C7F"/>
    <w:rsid w:val="00C83A82"/>
    <w:rsid w:val="00C84BF2"/>
    <w:rsid w:val="00C8570D"/>
    <w:rsid w:val="00CA2F85"/>
    <w:rsid w:val="00CA43BB"/>
    <w:rsid w:val="00CB12C1"/>
    <w:rsid w:val="00CC55BC"/>
    <w:rsid w:val="00CD2A48"/>
    <w:rsid w:val="00CD50DE"/>
    <w:rsid w:val="00D01962"/>
    <w:rsid w:val="00D045BF"/>
    <w:rsid w:val="00D045ED"/>
    <w:rsid w:val="00D111D3"/>
    <w:rsid w:val="00D3484C"/>
    <w:rsid w:val="00D51A3B"/>
    <w:rsid w:val="00D5726E"/>
    <w:rsid w:val="00D61426"/>
    <w:rsid w:val="00D704A3"/>
    <w:rsid w:val="00D80594"/>
    <w:rsid w:val="00D82097"/>
    <w:rsid w:val="00D9290F"/>
    <w:rsid w:val="00D941A4"/>
    <w:rsid w:val="00DB12B8"/>
    <w:rsid w:val="00DB33E2"/>
    <w:rsid w:val="00DC5F3B"/>
    <w:rsid w:val="00DD7DA6"/>
    <w:rsid w:val="00E03C49"/>
    <w:rsid w:val="00E10949"/>
    <w:rsid w:val="00E20EFD"/>
    <w:rsid w:val="00E25B15"/>
    <w:rsid w:val="00E460FE"/>
    <w:rsid w:val="00E4793B"/>
    <w:rsid w:val="00E508FC"/>
    <w:rsid w:val="00E60248"/>
    <w:rsid w:val="00E6241F"/>
    <w:rsid w:val="00E6768C"/>
    <w:rsid w:val="00E76F95"/>
    <w:rsid w:val="00E87A81"/>
    <w:rsid w:val="00E911BA"/>
    <w:rsid w:val="00EB0B03"/>
    <w:rsid w:val="00EB5269"/>
    <w:rsid w:val="00EC68C8"/>
    <w:rsid w:val="00ED162A"/>
    <w:rsid w:val="00EE7D38"/>
    <w:rsid w:val="00EF1705"/>
    <w:rsid w:val="00EF3DB4"/>
    <w:rsid w:val="00F012AD"/>
    <w:rsid w:val="00F10150"/>
    <w:rsid w:val="00F14173"/>
    <w:rsid w:val="00F17233"/>
    <w:rsid w:val="00F2193E"/>
    <w:rsid w:val="00F373D8"/>
    <w:rsid w:val="00F42C65"/>
    <w:rsid w:val="00F434E1"/>
    <w:rsid w:val="00F47C68"/>
    <w:rsid w:val="00F516AC"/>
    <w:rsid w:val="00F81D01"/>
    <w:rsid w:val="00F91E16"/>
    <w:rsid w:val="00F920A8"/>
    <w:rsid w:val="00F952FD"/>
    <w:rsid w:val="00FA0F2E"/>
    <w:rsid w:val="00FA1395"/>
    <w:rsid w:val="00FB42E9"/>
    <w:rsid w:val="00FC2D1A"/>
    <w:rsid w:val="00FC4B03"/>
    <w:rsid w:val="00FC75BD"/>
    <w:rsid w:val="00FC7743"/>
    <w:rsid w:val="00FC7E23"/>
    <w:rsid w:val="00FD3440"/>
    <w:rsid w:val="00FE0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0A7AD"/>
  <w15:docId w15:val="{5B978CBF-83D8-43DB-B15C-356A38D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00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2F85"/>
    <w:pPr>
      <w:ind w:left="720"/>
      <w:contextualSpacing/>
    </w:pPr>
  </w:style>
  <w:style w:type="paragraph" w:styleId="Ballontekst">
    <w:name w:val="Balloon Text"/>
    <w:basedOn w:val="Standaard"/>
    <w:link w:val="BallontekstChar"/>
    <w:uiPriority w:val="99"/>
    <w:semiHidden/>
    <w:unhideWhenUsed/>
    <w:rsid w:val="007E7E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7EDE"/>
    <w:rPr>
      <w:rFonts w:ascii="Segoe UI" w:hAnsi="Segoe UI" w:cs="Segoe UI"/>
      <w:sz w:val="18"/>
      <w:szCs w:val="18"/>
    </w:rPr>
  </w:style>
  <w:style w:type="table" w:styleId="Tabelraster">
    <w:name w:val="Table Grid"/>
    <w:basedOn w:val="Standaardtabel"/>
    <w:uiPriority w:val="39"/>
    <w:rsid w:val="00EE7D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87A81"/>
    <w:rPr>
      <w:sz w:val="16"/>
      <w:szCs w:val="16"/>
    </w:rPr>
  </w:style>
  <w:style w:type="paragraph" w:styleId="Tekstopmerking">
    <w:name w:val="annotation text"/>
    <w:basedOn w:val="Standaard"/>
    <w:link w:val="TekstopmerkingChar"/>
    <w:uiPriority w:val="99"/>
    <w:semiHidden/>
    <w:unhideWhenUsed/>
    <w:rsid w:val="00E87A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7A81"/>
    <w:rPr>
      <w:sz w:val="20"/>
      <w:szCs w:val="20"/>
    </w:rPr>
  </w:style>
  <w:style w:type="paragraph" w:styleId="Onderwerpvanopmerking">
    <w:name w:val="annotation subject"/>
    <w:basedOn w:val="Tekstopmerking"/>
    <w:next w:val="Tekstopmerking"/>
    <w:link w:val="OnderwerpvanopmerkingChar"/>
    <w:uiPriority w:val="99"/>
    <w:semiHidden/>
    <w:unhideWhenUsed/>
    <w:rsid w:val="00E87A81"/>
    <w:rPr>
      <w:b/>
      <w:bCs/>
    </w:rPr>
  </w:style>
  <w:style w:type="character" w:customStyle="1" w:styleId="OnderwerpvanopmerkingChar">
    <w:name w:val="Onderwerp van opmerking Char"/>
    <w:basedOn w:val="TekstopmerkingChar"/>
    <w:link w:val="Onderwerpvanopmerking"/>
    <w:uiPriority w:val="99"/>
    <w:semiHidden/>
    <w:rsid w:val="00E87A81"/>
    <w:rPr>
      <w:b/>
      <w:bCs/>
      <w:sz w:val="20"/>
      <w:szCs w:val="20"/>
    </w:rPr>
  </w:style>
  <w:style w:type="paragraph" w:styleId="Koptekst">
    <w:name w:val="header"/>
    <w:basedOn w:val="Standaard"/>
    <w:link w:val="KoptekstChar"/>
    <w:uiPriority w:val="99"/>
    <w:unhideWhenUsed/>
    <w:rsid w:val="00310A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10A8A"/>
  </w:style>
  <w:style w:type="paragraph" w:styleId="Voettekst">
    <w:name w:val="footer"/>
    <w:basedOn w:val="Standaard"/>
    <w:link w:val="VoettekstChar"/>
    <w:uiPriority w:val="99"/>
    <w:unhideWhenUsed/>
    <w:rsid w:val="00310A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10A8A"/>
  </w:style>
  <w:style w:type="paragraph" w:styleId="Voetnoottekst">
    <w:name w:val="footnote text"/>
    <w:basedOn w:val="Standaard"/>
    <w:link w:val="VoetnoottekstChar"/>
    <w:uiPriority w:val="99"/>
    <w:semiHidden/>
    <w:unhideWhenUsed/>
    <w:rsid w:val="00FB42E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B42E9"/>
    <w:rPr>
      <w:sz w:val="20"/>
      <w:szCs w:val="20"/>
    </w:rPr>
  </w:style>
  <w:style w:type="character" w:styleId="Voetnootmarkering">
    <w:name w:val="footnote reference"/>
    <w:basedOn w:val="Standaardalinea-lettertype"/>
    <w:uiPriority w:val="99"/>
    <w:semiHidden/>
    <w:unhideWhenUsed/>
    <w:rsid w:val="00FB4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149899">
      <w:bodyDiv w:val="1"/>
      <w:marLeft w:val="0"/>
      <w:marRight w:val="0"/>
      <w:marTop w:val="0"/>
      <w:marBottom w:val="0"/>
      <w:divBdr>
        <w:top w:val="none" w:sz="0" w:space="0" w:color="auto"/>
        <w:left w:val="none" w:sz="0" w:space="0" w:color="auto"/>
        <w:bottom w:val="none" w:sz="0" w:space="0" w:color="auto"/>
        <w:right w:val="none" w:sz="0" w:space="0" w:color="auto"/>
      </w:divBdr>
    </w:div>
    <w:div w:id="20799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25F6-92FE-4776-94E6-BCC60C46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1656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JJ</dc:creator>
  <cp:lastModifiedBy>Bijl-Klaverdijk, EK</cp:lastModifiedBy>
  <cp:revision>24</cp:revision>
  <cp:lastPrinted>2016-03-17T11:12:00Z</cp:lastPrinted>
  <dcterms:created xsi:type="dcterms:W3CDTF">2016-03-14T08:44:00Z</dcterms:created>
  <dcterms:modified xsi:type="dcterms:W3CDTF">2016-04-14T13:18:00Z</dcterms:modified>
</cp:coreProperties>
</file>