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07" w:rsidRPr="00B95D4F" w:rsidRDefault="00E330B6">
      <w:pPr>
        <w:rPr>
          <w:rFonts w:ascii="Verdana" w:hAnsi="Verdana"/>
          <w:sz w:val="20"/>
          <w:szCs w:val="20"/>
        </w:rPr>
      </w:pPr>
      <w:bookmarkStart w:id="0" w:name="_GoBack"/>
      <w:bookmarkEnd w:id="0"/>
      <w:r w:rsidRPr="00B95D4F">
        <w:rPr>
          <w:rFonts w:ascii="Verdana" w:hAnsi="Verdana"/>
          <w:b/>
          <w:sz w:val="20"/>
          <w:szCs w:val="20"/>
        </w:rPr>
        <w:t>Motie salariëring topfunctionarissen verbonden partijen</w:t>
      </w:r>
      <w:r w:rsidR="000162BA" w:rsidRPr="00B95D4F">
        <w:rPr>
          <w:rFonts w:ascii="Verdana" w:hAnsi="Verdana"/>
          <w:sz w:val="20"/>
          <w:szCs w:val="20"/>
        </w:rPr>
        <w:br/>
      </w:r>
    </w:p>
    <w:p w:rsidR="000162BA" w:rsidRPr="00B95D4F" w:rsidRDefault="009D3A73">
      <w:pPr>
        <w:rPr>
          <w:rFonts w:ascii="Verdana" w:hAnsi="Verdana"/>
          <w:sz w:val="24"/>
          <w:szCs w:val="24"/>
        </w:rPr>
      </w:pPr>
      <w:r>
        <w:rPr>
          <w:rFonts w:ascii="Verdana" w:hAnsi="Verdana"/>
          <w:sz w:val="20"/>
          <w:szCs w:val="20"/>
        </w:rPr>
        <w:t xml:space="preserve">Het College van Hoofdingelanden </w:t>
      </w:r>
      <w:r w:rsidR="000162BA" w:rsidRPr="00B95D4F">
        <w:rPr>
          <w:rFonts w:ascii="Verdana" w:hAnsi="Verdana"/>
          <w:sz w:val="20"/>
          <w:szCs w:val="20"/>
        </w:rPr>
        <w:t xml:space="preserve">van </w:t>
      </w:r>
      <w:r w:rsidR="00B95D4F" w:rsidRPr="00B95D4F">
        <w:rPr>
          <w:rFonts w:ascii="Verdana" w:hAnsi="Verdana"/>
          <w:sz w:val="20"/>
          <w:szCs w:val="20"/>
        </w:rPr>
        <w:t>HHNK</w:t>
      </w:r>
      <w:r w:rsidR="000162BA" w:rsidRPr="00B95D4F">
        <w:rPr>
          <w:rFonts w:ascii="Verdana" w:hAnsi="Verdana"/>
          <w:sz w:val="20"/>
          <w:szCs w:val="20"/>
        </w:rPr>
        <w:t xml:space="preserve"> in v</w:t>
      </w:r>
      <w:r w:rsidR="00E330B6" w:rsidRPr="00B95D4F">
        <w:rPr>
          <w:rFonts w:ascii="Verdana" w:hAnsi="Verdana"/>
          <w:sz w:val="20"/>
          <w:szCs w:val="20"/>
        </w:rPr>
        <w:t xml:space="preserve">ergadering bijeen op </w:t>
      </w:r>
      <w:r w:rsidR="00B95D4F" w:rsidRPr="00B95D4F">
        <w:rPr>
          <w:rFonts w:ascii="Verdana" w:hAnsi="Verdana"/>
          <w:sz w:val="20"/>
          <w:szCs w:val="20"/>
        </w:rPr>
        <w:t>11 mei</w:t>
      </w:r>
      <w:r w:rsidR="00E330B6" w:rsidRPr="00B95D4F">
        <w:rPr>
          <w:rFonts w:ascii="Verdana" w:hAnsi="Verdana"/>
          <w:sz w:val="20"/>
          <w:szCs w:val="20"/>
        </w:rPr>
        <w:t xml:space="preserve"> 2016</w:t>
      </w:r>
      <w:r w:rsidR="000162BA" w:rsidRPr="00B95D4F">
        <w:rPr>
          <w:rFonts w:ascii="Verdana" w:hAnsi="Verdana"/>
          <w:sz w:val="20"/>
          <w:szCs w:val="20"/>
        </w:rPr>
        <w:t>.</w:t>
      </w:r>
    </w:p>
    <w:p w:rsidR="000162BA" w:rsidRPr="00B95D4F" w:rsidRDefault="000162BA">
      <w:pPr>
        <w:rPr>
          <w:rFonts w:ascii="Verdana" w:hAnsi="Verdana"/>
          <w:sz w:val="20"/>
          <w:szCs w:val="20"/>
          <w:u w:val="single"/>
        </w:rPr>
      </w:pPr>
      <w:r w:rsidRPr="00B95D4F">
        <w:rPr>
          <w:rFonts w:ascii="Verdana" w:hAnsi="Verdana"/>
          <w:sz w:val="20"/>
          <w:szCs w:val="20"/>
          <w:u w:val="single"/>
        </w:rPr>
        <w:t>Constaterende dat:</w:t>
      </w:r>
    </w:p>
    <w:p w:rsidR="00E330B6" w:rsidRPr="00B95D4F" w:rsidRDefault="00E330B6" w:rsidP="0007261C">
      <w:pPr>
        <w:pStyle w:val="Lijstalinea"/>
        <w:numPr>
          <w:ilvl w:val="0"/>
          <w:numId w:val="1"/>
        </w:numPr>
        <w:rPr>
          <w:rFonts w:ascii="Verdana" w:hAnsi="Verdana"/>
          <w:sz w:val="20"/>
          <w:szCs w:val="20"/>
        </w:rPr>
      </w:pPr>
      <w:r w:rsidRPr="00B95D4F">
        <w:rPr>
          <w:rFonts w:ascii="Verdana" w:hAnsi="Verdana"/>
          <w:sz w:val="20"/>
          <w:szCs w:val="20"/>
        </w:rPr>
        <w:t xml:space="preserve">Uit </w:t>
      </w:r>
      <w:r w:rsidR="005608AB">
        <w:rPr>
          <w:rFonts w:ascii="Verdana" w:hAnsi="Verdana"/>
          <w:sz w:val="20"/>
          <w:szCs w:val="20"/>
        </w:rPr>
        <w:t>de</w:t>
      </w:r>
      <w:r w:rsidRPr="00B95D4F">
        <w:rPr>
          <w:rFonts w:ascii="Verdana" w:hAnsi="Verdana"/>
          <w:sz w:val="20"/>
          <w:szCs w:val="20"/>
        </w:rPr>
        <w:t xml:space="preserve"> jaarverslag</w:t>
      </w:r>
      <w:r w:rsidR="005608AB">
        <w:rPr>
          <w:rFonts w:ascii="Verdana" w:hAnsi="Verdana"/>
          <w:sz w:val="20"/>
          <w:szCs w:val="20"/>
        </w:rPr>
        <w:t>en</w:t>
      </w:r>
      <w:r w:rsidRPr="00B95D4F">
        <w:rPr>
          <w:rFonts w:ascii="Verdana" w:hAnsi="Verdana"/>
          <w:sz w:val="20"/>
          <w:szCs w:val="20"/>
        </w:rPr>
        <w:t xml:space="preserve"> van </w:t>
      </w:r>
      <w:r w:rsidR="00A4542D" w:rsidRPr="00B95D4F">
        <w:rPr>
          <w:rFonts w:ascii="Verdana" w:hAnsi="Verdana"/>
          <w:sz w:val="20"/>
          <w:szCs w:val="20"/>
        </w:rPr>
        <w:t xml:space="preserve">de NV </w:t>
      </w:r>
      <w:r w:rsidRPr="00B95D4F">
        <w:rPr>
          <w:rFonts w:ascii="Verdana" w:hAnsi="Verdana"/>
          <w:sz w:val="20"/>
          <w:szCs w:val="20"/>
        </w:rPr>
        <w:t xml:space="preserve">HVC blijkt dat de beloning van de </w:t>
      </w:r>
      <w:r w:rsidR="00A4542D" w:rsidRPr="00B95D4F">
        <w:rPr>
          <w:rFonts w:ascii="Verdana" w:hAnsi="Verdana"/>
          <w:sz w:val="20"/>
          <w:szCs w:val="20"/>
        </w:rPr>
        <w:t xml:space="preserve">(enig) </w:t>
      </w:r>
      <w:r w:rsidRPr="00B95D4F">
        <w:rPr>
          <w:rFonts w:ascii="Verdana" w:hAnsi="Verdana"/>
          <w:sz w:val="20"/>
          <w:szCs w:val="20"/>
        </w:rPr>
        <w:t xml:space="preserve">statutair </w:t>
      </w:r>
      <w:r w:rsidR="00DE3AE8" w:rsidRPr="00B95D4F">
        <w:rPr>
          <w:rFonts w:ascii="Verdana" w:hAnsi="Verdana"/>
          <w:sz w:val="20"/>
          <w:szCs w:val="20"/>
        </w:rPr>
        <w:t>directeur</w:t>
      </w:r>
      <w:r w:rsidRPr="00B95D4F">
        <w:rPr>
          <w:rFonts w:ascii="Verdana" w:hAnsi="Verdana"/>
          <w:sz w:val="20"/>
          <w:szCs w:val="20"/>
        </w:rPr>
        <w:t xml:space="preserve"> als </w:t>
      </w:r>
      <w:r w:rsidR="00DE3AE8" w:rsidRPr="00B95D4F">
        <w:rPr>
          <w:rFonts w:ascii="Verdana" w:hAnsi="Verdana"/>
          <w:sz w:val="20"/>
          <w:szCs w:val="20"/>
        </w:rPr>
        <w:t>volgt</w:t>
      </w:r>
      <w:r w:rsidRPr="00B95D4F">
        <w:rPr>
          <w:rFonts w:ascii="Verdana" w:hAnsi="Verdana"/>
          <w:sz w:val="20"/>
          <w:szCs w:val="20"/>
        </w:rPr>
        <w:t xml:space="preserve"> is opgebouwd;</w:t>
      </w:r>
    </w:p>
    <w:tbl>
      <w:tblPr>
        <w:tblW w:w="0" w:type="auto"/>
        <w:tblInd w:w="12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82"/>
        <w:gridCol w:w="1488"/>
        <w:gridCol w:w="1488"/>
        <w:gridCol w:w="1418"/>
      </w:tblGrid>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b/>
                <w:bCs/>
              </w:rPr>
            </w:pPr>
          </w:p>
        </w:tc>
        <w:tc>
          <w:tcPr>
            <w:tcW w:w="1488" w:type="dxa"/>
          </w:tcPr>
          <w:p w:rsidR="009D3A73" w:rsidRPr="00B95D4F" w:rsidRDefault="009D3A73" w:rsidP="00DE3AE8">
            <w:pPr>
              <w:spacing w:after="0" w:line="240" w:lineRule="auto"/>
              <w:jc w:val="right"/>
              <w:rPr>
                <w:rFonts w:ascii="Calibri" w:eastAsia="Calibri" w:hAnsi="Calibri" w:cs="Times New Roman"/>
                <w:b/>
                <w:bCs/>
              </w:rPr>
            </w:pPr>
            <w:r>
              <w:rPr>
                <w:rFonts w:ascii="Calibri" w:eastAsia="Calibri" w:hAnsi="Calibri" w:cs="Times New Roman"/>
                <w:b/>
                <w:bCs/>
              </w:rPr>
              <w:t>2015</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b/>
                <w:bCs/>
              </w:rPr>
            </w:pPr>
            <w:r w:rsidRPr="00B95D4F">
              <w:rPr>
                <w:rFonts w:ascii="Calibri" w:eastAsia="Calibri" w:hAnsi="Calibri" w:cs="Times New Roman"/>
                <w:b/>
                <w:bCs/>
              </w:rPr>
              <w:t>2014</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b/>
                <w:bCs/>
              </w:rPr>
            </w:pPr>
            <w:r w:rsidRPr="00B95D4F">
              <w:rPr>
                <w:rFonts w:ascii="Calibri" w:eastAsia="Calibri" w:hAnsi="Calibri" w:cs="Times New Roman"/>
                <w:b/>
                <w:bCs/>
              </w:rPr>
              <w:t>2013</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rPr>
            </w:pPr>
            <w:r w:rsidRPr="00B95D4F">
              <w:rPr>
                <w:rFonts w:ascii="Calibri" w:eastAsia="Calibri" w:hAnsi="Calibri" w:cs="Times New Roman"/>
              </w:rPr>
              <w:t>Salaris</w:t>
            </w:r>
          </w:p>
        </w:tc>
        <w:tc>
          <w:tcPr>
            <w:tcW w:w="1488" w:type="dxa"/>
          </w:tcPr>
          <w:p w:rsidR="009D3A73" w:rsidRPr="00B95D4F" w:rsidRDefault="009D3A73" w:rsidP="00DE3AE8">
            <w:pPr>
              <w:spacing w:after="0" w:line="240" w:lineRule="auto"/>
              <w:jc w:val="right"/>
              <w:rPr>
                <w:rFonts w:ascii="Calibri" w:eastAsia="Calibri" w:hAnsi="Calibri" w:cs="Times New Roman"/>
              </w:rPr>
            </w:pPr>
            <w:r>
              <w:rPr>
                <w:rFonts w:ascii="Calibri" w:eastAsia="Calibri" w:hAnsi="Calibri" w:cs="Times New Roman"/>
              </w:rPr>
              <w:t>200 K€</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195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193 K€</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rPr>
            </w:pPr>
            <w:r w:rsidRPr="00B95D4F">
              <w:rPr>
                <w:rFonts w:ascii="Calibri" w:eastAsia="Calibri" w:hAnsi="Calibri" w:cs="Times New Roman"/>
              </w:rPr>
              <w:t>WG bijdrage pensioen</w:t>
            </w:r>
          </w:p>
        </w:tc>
        <w:tc>
          <w:tcPr>
            <w:tcW w:w="1488" w:type="dxa"/>
          </w:tcPr>
          <w:p w:rsidR="009D3A73" w:rsidRPr="00B95D4F" w:rsidRDefault="009D3A73" w:rsidP="00DE3AE8">
            <w:pPr>
              <w:spacing w:after="0" w:line="240" w:lineRule="auto"/>
              <w:jc w:val="right"/>
              <w:rPr>
                <w:rFonts w:ascii="Calibri" w:eastAsia="Calibri" w:hAnsi="Calibri" w:cs="Times New Roman"/>
              </w:rPr>
            </w:pPr>
            <w:r>
              <w:rPr>
                <w:rFonts w:ascii="Calibri" w:eastAsia="Calibri" w:hAnsi="Calibri" w:cs="Times New Roman"/>
              </w:rPr>
              <w:t>44 K€</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49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63 K€</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rPr>
            </w:pPr>
            <w:r w:rsidRPr="00B95D4F">
              <w:rPr>
                <w:rFonts w:ascii="Calibri" w:eastAsia="Calibri" w:hAnsi="Calibri" w:cs="Times New Roman"/>
              </w:rPr>
              <w:t>Bezoldiging totaal</w:t>
            </w:r>
          </w:p>
        </w:tc>
        <w:tc>
          <w:tcPr>
            <w:tcW w:w="1488" w:type="dxa"/>
          </w:tcPr>
          <w:p w:rsidR="009D3A73" w:rsidRPr="00B95D4F" w:rsidRDefault="009D3A73" w:rsidP="00DE3AE8">
            <w:pPr>
              <w:spacing w:after="0" w:line="240" w:lineRule="auto"/>
              <w:jc w:val="right"/>
              <w:rPr>
                <w:rFonts w:ascii="Calibri" w:eastAsia="Calibri" w:hAnsi="Calibri" w:cs="Times New Roman"/>
              </w:rPr>
            </w:pPr>
            <w:r>
              <w:rPr>
                <w:rFonts w:ascii="Calibri" w:eastAsia="Calibri" w:hAnsi="Calibri" w:cs="Times New Roman"/>
              </w:rPr>
              <w:t>244 K€</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244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256 K€</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rPr>
            </w:pPr>
            <w:r w:rsidRPr="00B95D4F">
              <w:rPr>
                <w:rFonts w:ascii="Calibri" w:eastAsia="Calibri" w:hAnsi="Calibri" w:cs="Times New Roman"/>
              </w:rPr>
              <w:t>WG bijdrage sociale lasten</w:t>
            </w:r>
          </w:p>
        </w:tc>
        <w:tc>
          <w:tcPr>
            <w:tcW w:w="1488" w:type="dxa"/>
          </w:tcPr>
          <w:p w:rsidR="009D3A73" w:rsidRPr="00B95D4F" w:rsidRDefault="009D3A73" w:rsidP="00DE3AE8">
            <w:pPr>
              <w:spacing w:after="0" w:line="240" w:lineRule="auto"/>
              <w:jc w:val="right"/>
              <w:rPr>
                <w:rFonts w:ascii="Calibri" w:eastAsia="Calibri" w:hAnsi="Calibri" w:cs="Times New Roman"/>
              </w:rPr>
            </w:pPr>
            <w:r>
              <w:rPr>
                <w:rFonts w:ascii="Calibri" w:eastAsia="Calibri" w:hAnsi="Calibri" w:cs="Times New Roman"/>
              </w:rPr>
              <w:t>18 K€</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14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14 K€</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rPr>
            </w:pPr>
            <w:r w:rsidRPr="00B95D4F">
              <w:rPr>
                <w:rFonts w:ascii="Calibri" w:eastAsia="Calibri" w:hAnsi="Calibri" w:cs="Times New Roman"/>
              </w:rPr>
              <w:t>Heffing Wet LB</w:t>
            </w:r>
          </w:p>
        </w:tc>
        <w:tc>
          <w:tcPr>
            <w:tcW w:w="1488" w:type="dxa"/>
          </w:tcPr>
          <w:p w:rsidR="009D3A73" w:rsidRPr="00B95D4F" w:rsidRDefault="009D3A73" w:rsidP="00DE3AE8">
            <w:pPr>
              <w:spacing w:after="0" w:line="240" w:lineRule="auto"/>
              <w:jc w:val="right"/>
              <w:rPr>
                <w:rFonts w:ascii="Calibri" w:eastAsia="Calibri" w:hAnsi="Calibri" w:cs="Times New Roman"/>
              </w:rPr>
            </w:pPr>
            <w:r>
              <w:rPr>
                <w:rFonts w:ascii="Calibri" w:eastAsia="Calibri" w:hAnsi="Calibri" w:cs="Times New Roman"/>
              </w:rPr>
              <w:t>-</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7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7 K€</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b/>
                <w:highlight w:val="yellow"/>
              </w:rPr>
            </w:pPr>
            <w:r w:rsidRPr="00B95D4F">
              <w:rPr>
                <w:rFonts w:ascii="Calibri" w:eastAsia="Calibri" w:hAnsi="Calibri" w:cs="Times New Roman"/>
                <w:b/>
              </w:rPr>
              <w:t>Totaal loonkosten</w:t>
            </w:r>
          </w:p>
        </w:tc>
        <w:tc>
          <w:tcPr>
            <w:tcW w:w="1488" w:type="dxa"/>
          </w:tcPr>
          <w:p w:rsidR="009D3A73" w:rsidRPr="00B95D4F" w:rsidRDefault="009D3A73" w:rsidP="009D3A73">
            <w:pPr>
              <w:spacing w:after="0" w:line="240" w:lineRule="auto"/>
              <w:jc w:val="right"/>
              <w:rPr>
                <w:rFonts w:ascii="Calibri" w:eastAsia="Calibri" w:hAnsi="Calibri" w:cs="Times New Roman"/>
                <w:b/>
              </w:rPr>
            </w:pPr>
            <w:r>
              <w:rPr>
                <w:rFonts w:ascii="Calibri" w:eastAsia="Calibri" w:hAnsi="Calibri" w:cs="Times New Roman"/>
                <w:b/>
              </w:rPr>
              <w:t>262 K€</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b/>
                <w:highlight w:val="yellow"/>
              </w:rPr>
            </w:pPr>
            <w:r w:rsidRPr="00B95D4F">
              <w:rPr>
                <w:rFonts w:ascii="Calibri" w:eastAsia="Calibri" w:hAnsi="Calibri" w:cs="Times New Roman"/>
                <w:b/>
              </w:rPr>
              <w:t>265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b/>
                <w:highlight w:val="yellow"/>
              </w:rPr>
            </w:pPr>
            <w:r w:rsidRPr="00B95D4F">
              <w:rPr>
                <w:rFonts w:ascii="Calibri" w:eastAsia="Calibri" w:hAnsi="Calibri" w:cs="Times New Roman"/>
                <w:b/>
              </w:rPr>
              <w:t>277 K€</w:t>
            </w:r>
          </w:p>
        </w:tc>
      </w:tr>
      <w:tr w:rsidR="009D3A73" w:rsidRPr="00B95D4F" w:rsidTr="009D3A73">
        <w:tc>
          <w:tcPr>
            <w:tcW w:w="3182" w:type="dxa"/>
            <w:tcMar>
              <w:top w:w="0" w:type="dxa"/>
              <w:left w:w="108" w:type="dxa"/>
              <w:bottom w:w="0" w:type="dxa"/>
              <w:right w:w="108" w:type="dxa"/>
            </w:tcMar>
            <w:hideMark/>
          </w:tcPr>
          <w:p w:rsidR="009D3A73" w:rsidRPr="00B95D4F" w:rsidRDefault="009D3A73" w:rsidP="00DE3AE8">
            <w:pPr>
              <w:spacing w:after="0" w:line="240" w:lineRule="auto"/>
              <w:rPr>
                <w:rFonts w:ascii="Calibri" w:eastAsia="Calibri" w:hAnsi="Calibri" w:cs="Times New Roman"/>
              </w:rPr>
            </w:pPr>
            <w:r w:rsidRPr="00B95D4F">
              <w:rPr>
                <w:rFonts w:ascii="Calibri" w:eastAsia="Calibri" w:hAnsi="Calibri" w:cs="Times New Roman"/>
              </w:rPr>
              <w:t xml:space="preserve">Prijs auto </w:t>
            </w:r>
            <w:proofErr w:type="spellStart"/>
            <w:r w:rsidRPr="00B95D4F">
              <w:rPr>
                <w:rFonts w:ascii="Calibri" w:eastAsia="Calibri" w:hAnsi="Calibri" w:cs="Times New Roman"/>
              </w:rPr>
              <w:t>vd</w:t>
            </w:r>
            <w:proofErr w:type="spellEnd"/>
            <w:r w:rsidRPr="00B95D4F">
              <w:rPr>
                <w:rFonts w:ascii="Calibri" w:eastAsia="Calibri" w:hAnsi="Calibri" w:cs="Times New Roman"/>
              </w:rPr>
              <w:t xml:space="preserve"> zaak</w:t>
            </w:r>
          </w:p>
        </w:tc>
        <w:tc>
          <w:tcPr>
            <w:tcW w:w="1488" w:type="dxa"/>
          </w:tcPr>
          <w:p w:rsidR="009D3A73" w:rsidRPr="00B95D4F" w:rsidRDefault="009D3A73" w:rsidP="00DE3AE8">
            <w:pPr>
              <w:spacing w:after="0" w:line="240" w:lineRule="auto"/>
              <w:jc w:val="right"/>
              <w:rPr>
                <w:rFonts w:ascii="Calibri" w:eastAsia="Calibri" w:hAnsi="Calibri" w:cs="Times New Roman"/>
              </w:rPr>
            </w:pPr>
            <w:r>
              <w:rPr>
                <w:rFonts w:ascii="Calibri" w:eastAsia="Calibri" w:hAnsi="Calibri" w:cs="Times New Roman"/>
              </w:rPr>
              <w:t>67 K€</w:t>
            </w:r>
          </w:p>
        </w:tc>
        <w:tc>
          <w:tcPr>
            <w:tcW w:w="148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67 K€</w:t>
            </w:r>
          </w:p>
        </w:tc>
        <w:tc>
          <w:tcPr>
            <w:tcW w:w="1418" w:type="dxa"/>
            <w:tcMar>
              <w:top w:w="0" w:type="dxa"/>
              <w:left w:w="108" w:type="dxa"/>
              <w:bottom w:w="0" w:type="dxa"/>
              <w:right w:w="108" w:type="dxa"/>
            </w:tcMar>
            <w:hideMark/>
          </w:tcPr>
          <w:p w:rsidR="009D3A73" w:rsidRPr="00B95D4F" w:rsidRDefault="009D3A73" w:rsidP="00DE3AE8">
            <w:pPr>
              <w:spacing w:after="0" w:line="240" w:lineRule="auto"/>
              <w:jc w:val="right"/>
              <w:rPr>
                <w:rFonts w:ascii="Calibri" w:eastAsia="Calibri" w:hAnsi="Calibri" w:cs="Times New Roman"/>
              </w:rPr>
            </w:pPr>
            <w:r w:rsidRPr="00B95D4F">
              <w:rPr>
                <w:rFonts w:ascii="Calibri" w:eastAsia="Calibri" w:hAnsi="Calibri" w:cs="Times New Roman"/>
              </w:rPr>
              <w:t>67 K€</w:t>
            </w:r>
          </w:p>
        </w:tc>
      </w:tr>
    </w:tbl>
    <w:p w:rsidR="003532CA" w:rsidRPr="00B95D4F" w:rsidRDefault="003532CA" w:rsidP="0059284D">
      <w:pPr>
        <w:pStyle w:val="Lijstalinea"/>
        <w:numPr>
          <w:ilvl w:val="0"/>
          <w:numId w:val="1"/>
        </w:numPr>
        <w:rPr>
          <w:rFonts w:ascii="Verdana" w:hAnsi="Verdana"/>
          <w:sz w:val="20"/>
          <w:szCs w:val="20"/>
        </w:rPr>
      </w:pPr>
      <w:r w:rsidRPr="00B95D4F">
        <w:rPr>
          <w:rFonts w:ascii="Verdana" w:hAnsi="Verdana"/>
          <w:sz w:val="20"/>
          <w:szCs w:val="20"/>
        </w:rPr>
        <w:t xml:space="preserve">Sinds 1 januari 2013 de nieuwe wet WNT (Wet Normering Topinkomens) van kracht is. Topfunctionarissen niet meer mogen verdienen dan de WNT-norm. De wet WNT geldt voor bestuurders van publieke instellingen en </w:t>
      </w:r>
      <w:r w:rsidR="0059284D" w:rsidRPr="00B95D4F">
        <w:rPr>
          <w:rFonts w:ascii="Verdana" w:hAnsi="Verdana"/>
          <w:sz w:val="20"/>
          <w:szCs w:val="20"/>
        </w:rPr>
        <w:t>semipublieke</w:t>
      </w:r>
      <w:r w:rsidRPr="00B95D4F">
        <w:rPr>
          <w:rFonts w:ascii="Verdana" w:hAnsi="Verdana"/>
          <w:sz w:val="20"/>
          <w:szCs w:val="20"/>
        </w:rPr>
        <w:t xml:space="preserve"> organisaties. De norm in 2014 € 193.000</w:t>
      </w:r>
      <w:r w:rsidR="00567307" w:rsidRPr="00B95D4F">
        <w:rPr>
          <w:rFonts w:ascii="Verdana" w:hAnsi="Verdana"/>
          <w:sz w:val="20"/>
          <w:szCs w:val="20"/>
        </w:rPr>
        <w:t xml:space="preserve"> </w:t>
      </w:r>
      <w:r w:rsidR="0059284D" w:rsidRPr="00B95D4F">
        <w:rPr>
          <w:rFonts w:ascii="Verdana" w:hAnsi="Verdana"/>
          <w:sz w:val="20"/>
          <w:szCs w:val="20"/>
        </w:rPr>
        <w:t>bedroeg en in 2015</w:t>
      </w:r>
      <w:r w:rsidR="0066213B" w:rsidRPr="00B95D4F">
        <w:rPr>
          <w:rFonts w:ascii="Verdana" w:hAnsi="Verdana"/>
          <w:sz w:val="20"/>
          <w:szCs w:val="20"/>
        </w:rPr>
        <w:t xml:space="preserve"> </w:t>
      </w:r>
      <w:r w:rsidR="0059284D" w:rsidRPr="00B95D4F">
        <w:rPr>
          <w:rFonts w:ascii="Verdana" w:hAnsi="Verdana"/>
          <w:sz w:val="20"/>
          <w:szCs w:val="20"/>
        </w:rPr>
        <w:t xml:space="preserve">€ 178.000. Dit is inclusief </w:t>
      </w:r>
      <w:r w:rsidR="00D12B69" w:rsidRPr="00B95D4F">
        <w:rPr>
          <w:rFonts w:ascii="Verdana" w:hAnsi="Verdana"/>
          <w:sz w:val="20"/>
          <w:szCs w:val="20"/>
        </w:rPr>
        <w:t>vakantie-uitkering</w:t>
      </w:r>
      <w:r w:rsidR="0059284D" w:rsidRPr="00B95D4F">
        <w:rPr>
          <w:rFonts w:ascii="Verdana" w:hAnsi="Verdana"/>
          <w:sz w:val="20"/>
          <w:szCs w:val="20"/>
        </w:rPr>
        <w:t>, eindejaarsuitkering, pensioenbijdrage en onkosten.</w:t>
      </w:r>
    </w:p>
    <w:p w:rsidR="0007261C" w:rsidRPr="00B95D4F" w:rsidRDefault="0007261C">
      <w:pPr>
        <w:rPr>
          <w:rFonts w:ascii="Verdana" w:hAnsi="Verdana"/>
          <w:sz w:val="20"/>
          <w:szCs w:val="20"/>
          <w:u w:val="single"/>
        </w:rPr>
      </w:pPr>
      <w:r w:rsidRPr="00B95D4F">
        <w:rPr>
          <w:rFonts w:ascii="Verdana" w:hAnsi="Verdana"/>
          <w:sz w:val="20"/>
          <w:szCs w:val="20"/>
          <w:u w:val="single"/>
        </w:rPr>
        <w:t>Overwegende dat:</w:t>
      </w:r>
    </w:p>
    <w:p w:rsidR="00D22C22" w:rsidRPr="00B95D4F" w:rsidRDefault="0066213B" w:rsidP="006230A6">
      <w:pPr>
        <w:pStyle w:val="Lijstalinea"/>
        <w:numPr>
          <w:ilvl w:val="0"/>
          <w:numId w:val="2"/>
        </w:numPr>
        <w:rPr>
          <w:rFonts w:ascii="Verdana" w:hAnsi="Verdana"/>
          <w:sz w:val="20"/>
          <w:szCs w:val="20"/>
        </w:rPr>
      </w:pPr>
      <w:r w:rsidRPr="00B95D4F">
        <w:rPr>
          <w:rFonts w:ascii="Verdana" w:hAnsi="Verdana"/>
          <w:sz w:val="20"/>
          <w:szCs w:val="20"/>
        </w:rPr>
        <w:t>De</w:t>
      </w:r>
      <w:r w:rsidR="0072396E" w:rsidRPr="00B95D4F">
        <w:rPr>
          <w:rFonts w:ascii="Verdana" w:hAnsi="Verdana"/>
          <w:sz w:val="20"/>
          <w:szCs w:val="20"/>
        </w:rPr>
        <w:t xml:space="preserve"> NV HVC kan worden beschouwd als semioverheidsbedrijf</w:t>
      </w:r>
      <w:r w:rsidR="006230A6" w:rsidRPr="00B95D4F">
        <w:rPr>
          <w:rFonts w:ascii="Verdana" w:hAnsi="Verdana"/>
          <w:sz w:val="20"/>
          <w:szCs w:val="20"/>
        </w:rPr>
        <w:t xml:space="preserve"> waar </w:t>
      </w:r>
      <w:r w:rsidR="0072396E" w:rsidRPr="00B95D4F">
        <w:rPr>
          <w:rFonts w:ascii="Verdana" w:hAnsi="Verdana"/>
          <w:sz w:val="20"/>
          <w:szCs w:val="20"/>
        </w:rPr>
        <w:t xml:space="preserve">46 gemeenten en 6 </w:t>
      </w:r>
      <w:r w:rsidR="006230A6" w:rsidRPr="00B95D4F">
        <w:rPr>
          <w:rFonts w:ascii="Verdana" w:hAnsi="Verdana"/>
          <w:sz w:val="20"/>
          <w:szCs w:val="20"/>
        </w:rPr>
        <w:t xml:space="preserve">waterschappen aandeelhouder </w:t>
      </w:r>
      <w:r w:rsidRPr="00B95D4F">
        <w:rPr>
          <w:rFonts w:ascii="Verdana" w:hAnsi="Verdana"/>
          <w:sz w:val="20"/>
          <w:szCs w:val="20"/>
        </w:rPr>
        <w:t xml:space="preserve">van zijn </w:t>
      </w:r>
      <w:r w:rsidR="0072396E" w:rsidRPr="00B95D4F">
        <w:rPr>
          <w:rFonts w:ascii="Verdana" w:hAnsi="Verdana"/>
          <w:sz w:val="20"/>
          <w:szCs w:val="20"/>
        </w:rPr>
        <w:t xml:space="preserve">dat </w:t>
      </w:r>
      <w:r w:rsidR="006230A6" w:rsidRPr="00B95D4F">
        <w:rPr>
          <w:rFonts w:ascii="Verdana" w:hAnsi="Verdana"/>
          <w:sz w:val="20"/>
          <w:szCs w:val="20"/>
        </w:rPr>
        <w:t xml:space="preserve">huisvuil en slib verwerkt. </w:t>
      </w:r>
    </w:p>
    <w:p w:rsidR="0066213B" w:rsidRPr="00B95D4F" w:rsidRDefault="00D22C22" w:rsidP="00D22C22">
      <w:pPr>
        <w:pStyle w:val="Lijstalinea"/>
        <w:numPr>
          <w:ilvl w:val="0"/>
          <w:numId w:val="2"/>
        </w:numPr>
        <w:rPr>
          <w:rFonts w:ascii="Verdana" w:hAnsi="Verdana"/>
          <w:sz w:val="20"/>
          <w:szCs w:val="20"/>
        </w:rPr>
      </w:pPr>
      <w:r w:rsidRPr="00B95D4F">
        <w:rPr>
          <w:rFonts w:ascii="Verdana" w:hAnsi="Verdana"/>
          <w:sz w:val="20"/>
          <w:szCs w:val="20"/>
        </w:rPr>
        <w:t xml:space="preserve">De </w:t>
      </w:r>
      <w:r w:rsidR="006230A6" w:rsidRPr="00B95D4F">
        <w:rPr>
          <w:rFonts w:ascii="Verdana" w:hAnsi="Verdana"/>
          <w:sz w:val="20"/>
          <w:szCs w:val="20"/>
        </w:rPr>
        <w:t xml:space="preserve">directie </w:t>
      </w:r>
      <w:r w:rsidRPr="00B95D4F">
        <w:rPr>
          <w:rFonts w:ascii="Verdana" w:hAnsi="Verdana"/>
          <w:sz w:val="20"/>
          <w:szCs w:val="20"/>
        </w:rPr>
        <w:t>nauwelijks r</w:t>
      </w:r>
      <w:r w:rsidR="006230A6" w:rsidRPr="00B95D4F">
        <w:rPr>
          <w:rFonts w:ascii="Verdana" w:hAnsi="Verdana"/>
          <w:sz w:val="20"/>
          <w:szCs w:val="20"/>
        </w:rPr>
        <w:t>isico</w:t>
      </w:r>
      <w:r w:rsidRPr="00B95D4F">
        <w:rPr>
          <w:rFonts w:ascii="Verdana" w:hAnsi="Verdana"/>
          <w:sz w:val="20"/>
          <w:szCs w:val="20"/>
        </w:rPr>
        <w:t xml:space="preserve"> loopt</w:t>
      </w:r>
    </w:p>
    <w:p w:rsidR="0072396E" w:rsidRPr="00B95D4F" w:rsidRDefault="0072396E" w:rsidP="006230A6">
      <w:pPr>
        <w:pStyle w:val="Lijstalinea"/>
        <w:numPr>
          <w:ilvl w:val="0"/>
          <w:numId w:val="2"/>
        </w:numPr>
        <w:rPr>
          <w:rFonts w:ascii="Verdana" w:hAnsi="Verdana"/>
          <w:sz w:val="20"/>
          <w:szCs w:val="20"/>
        </w:rPr>
      </w:pPr>
      <w:r w:rsidRPr="00B95D4F">
        <w:rPr>
          <w:rFonts w:ascii="Verdana" w:hAnsi="Verdana"/>
          <w:sz w:val="20"/>
          <w:szCs w:val="20"/>
        </w:rPr>
        <w:t>Aandeelhouders garant staan voor rente en aflossingen van aangegane leningen</w:t>
      </w:r>
      <w:r w:rsidR="00D22C22" w:rsidRPr="00B95D4F">
        <w:rPr>
          <w:rFonts w:ascii="Verdana" w:hAnsi="Verdana"/>
          <w:sz w:val="20"/>
          <w:szCs w:val="20"/>
        </w:rPr>
        <w:t>.</w:t>
      </w:r>
    </w:p>
    <w:p w:rsidR="0066213B" w:rsidRPr="00B95D4F" w:rsidRDefault="00A4542D" w:rsidP="0066213B">
      <w:pPr>
        <w:pStyle w:val="Lijstalinea"/>
        <w:numPr>
          <w:ilvl w:val="0"/>
          <w:numId w:val="2"/>
        </w:numPr>
        <w:rPr>
          <w:rFonts w:ascii="Verdana" w:hAnsi="Verdana"/>
          <w:sz w:val="20"/>
          <w:szCs w:val="20"/>
        </w:rPr>
      </w:pPr>
      <w:r w:rsidRPr="00B95D4F">
        <w:rPr>
          <w:rFonts w:ascii="Verdana" w:hAnsi="Verdana"/>
          <w:sz w:val="20"/>
          <w:szCs w:val="20"/>
        </w:rPr>
        <w:t xml:space="preserve">Het wenselijk is dat salarissen van topfunctionarissen van met het waterschap verbonden partijen zich aan de wet WNT dienen te houden. </w:t>
      </w:r>
    </w:p>
    <w:p w:rsidR="00A4542D" w:rsidRPr="00B95D4F" w:rsidRDefault="0066213B" w:rsidP="002943A6">
      <w:pPr>
        <w:pStyle w:val="Lijstalinea"/>
        <w:numPr>
          <w:ilvl w:val="0"/>
          <w:numId w:val="2"/>
        </w:numPr>
        <w:rPr>
          <w:rFonts w:ascii="Verdana" w:hAnsi="Verdana"/>
          <w:sz w:val="20"/>
          <w:szCs w:val="20"/>
        </w:rPr>
      </w:pPr>
      <w:r w:rsidRPr="00B95D4F">
        <w:rPr>
          <w:rFonts w:ascii="Verdana" w:hAnsi="Verdana"/>
          <w:sz w:val="20"/>
          <w:szCs w:val="20"/>
        </w:rPr>
        <w:t>De Raad van Commissarissen van HVC heeft vastgesteld dat de WNT formeel niet op HVC van toepassing is en dat de met de directie gemaakte beloningsafspraken gebaseerd zijn op het door de algemene vergadering van aandeelhouders vastgestelde beloningsbeleid</w:t>
      </w:r>
    </w:p>
    <w:p w:rsidR="0066213B" w:rsidRPr="00B95D4F" w:rsidRDefault="00567307" w:rsidP="002943A6">
      <w:pPr>
        <w:pStyle w:val="Lijstalinea"/>
        <w:numPr>
          <w:ilvl w:val="0"/>
          <w:numId w:val="2"/>
        </w:numPr>
        <w:rPr>
          <w:rFonts w:ascii="Verdana" w:hAnsi="Verdana"/>
          <w:sz w:val="20"/>
          <w:szCs w:val="20"/>
        </w:rPr>
      </w:pPr>
      <w:r w:rsidRPr="00B95D4F">
        <w:rPr>
          <w:rFonts w:ascii="Verdana" w:hAnsi="Verdana"/>
          <w:sz w:val="20"/>
          <w:szCs w:val="20"/>
        </w:rPr>
        <w:t>Echter h</w:t>
      </w:r>
      <w:r w:rsidR="0066213B" w:rsidRPr="00B95D4F">
        <w:rPr>
          <w:rFonts w:ascii="Verdana" w:hAnsi="Verdana"/>
          <w:sz w:val="20"/>
          <w:szCs w:val="20"/>
        </w:rPr>
        <w:t>et uiteindelijke besluit niet bij de Raad van Commissarissen van HVC ligt maar bij de aandeelhouders van HVC.</w:t>
      </w:r>
    </w:p>
    <w:p w:rsidR="00B06B71" w:rsidRPr="00B95D4F" w:rsidRDefault="0066213B">
      <w:pPr>
        <w:rPr>
          <w:rFonts w:ascii="Verdana" w:hAnsi="Verdana"/>
          <w:sz w:val="20"/>
          <w:szCs w:val="20"/>
          <w:u w:val="single"/>
        </w:rPr>
      </w:pPr>
      <w:r w:rsidRPr="00B95D4F">
        <w:rPr>
          <w:rFonts w:ascii="Verdana" w:hAnsi="Verdana"/>
          <w:sz w:val="20"/>
          <w:szCs w:val="20"/>
          <w:u w:val="single"/>
        </w:rPr>
        <w:t>Verzoekt het C</w:t>
      </w:r>
      <w:r w:rsidR="00161956" w:rsidRPr="00B95D4F">
        <w:rPr>
          <w:rFonts w:ascii="Verdana" w:hAnsi="Verdana"/>
          <w:sz w:val="20"/>
          <w:szCs w:val="20"/>
          <w:u w:val="single"/>
        </w:rPr>
        <w:t xml:space="preserve">ollege </w:t>
      </w:r>
      <w:r w:rsidRPr="00B95D4F">
        <w:rPr>
          <w:rFonts w:ascii="Verdana" w:hAnsi="Verdana"/>
          <w:sz w:val="20"/>
          <w:szCs w:val="20"/>
          <w:u w:val="single"/>
        </w:rPr>
        <w:t xml:space="preserve">van D&amp;H </w:t>
      </w:r>
      <w:r w:rsidR="00161956" w:rsidRPr="00B95D4F">
        <w:rPr>
          <w:rFonts w:ascii="Verdana" w:hAnsi="Verdana"/>
          <w:sz w:val="20"/>
          <w:szCs w:val="20"/>
          <w:u w:val="single"/>
        </w:rPr>
        <w:t>om</w:t>
      </w:r>
      <w:r w:rsidR="00BB59A7" w:rsidRPr="00B95D4F">
        <w:rPr>
          <w:rFonts w:ascii="Verdana" w:hAnsi="Verdana"/>
          <w:sz w:val="20"/>
          <w:szCs w:val="20"/>
          <w:u w:val="single"/>
        </w:rPr>
        <w:t>:</w:t>
      </w:r>
    </w:p>
    <w:p w:rsidR="00B04791" w:rsidRPr="00B95D4F" w:rsidRDefault="00161956" w:rsidP="00422A3B">
      <w:pPr>
        <w:pStyle w:val="Lijstalinea"/>
        <w:numPr>
          <w:ilvl w:val="0"/>
          <w:numId w:val="3"/>
        </w:numPr>
        <w:rPr>
          <w:rFonts w:ascii="Verdana" w:hAnsi="Verdana"/>
          <w:sz w:val="20"/>
          <w:szCs w:val="20"/>
        </w:rPr>
      </w:pPr>
      <w:r w:rsidRPr="00B95D4F">
        <w:rPr>
          <w:rFonts w:ascii="Verdana" w:hAnsi="Verdana"/>
          <w:sz w:val="20"/>
          <w:szCs w:val="20"/>
        </w:rPr>
        <w:t xml:space="preserve">Op de </w:t>
      </w:r>
      <w:r w:rsidR="008959E1" w:rsidRPr="00B95D4F">
        <w:rPr>
          <w:rFonts w:ascii="Verdana" w:hAnsi="Verdana"/>
          <w:sz w:val="20"/>
          <w:szCs w:val="20"/>
        </w:rPr>
        <w:t xml:space="preserve">eerstvolgende </w:t>
      </w:r>
      <w:r w:rsidRPr="00B95D4F">
        <w:rPr>
          <w:rFonts w:ascii="Verdana" w:hAnsi="Verdana"/>
          <w:sz w:val="20"/>
          <w:szCs w:val="20"/>
        </w:rPr>
        <w:t xml:space="preserve">aandeelhoudersvergadering </w:t>
      </w:r>
      <w:r w:rsidR="0066213B" w:rsidRPr="00B95D4F">
        <w:rPr>
          <w:rFonts w:ascii="Verdana" w:hAnsi="Verdana"/>
          <w:sz w:val="20"/>
          <w:szCs w:val="20"/>
        </w:rPr>
        <w:t xml:space="preserve">van HVC </w:t>
      </w:r>
      <w:r w:rsidR="0017093A" w:rsidRPr="00B95D4F">
        <w:rPr>
          <w:rFonts w:ascii="Verdana" w:hAnsi="Verdana"/>
          <w:sz w:val="20"/>
          <w:szCs w:val="20"/>
        </w:rPr>
        <w:t xml:space="preserve">met grote klem </w:t>
      </w:r>
      <w:r w:rsidRPr="00B95D4F">
        <w:rPr>
          <w:rFonts w:ascii="Verdana" w:hAnsi="Verdana"/>
          <w:sz w:val="20"/>
          <w:szCs w:val="20"/>
        </w:rPr>
        <w:t>aan te dringen bij de Raad van Commissarissen het salaris van de directie van de NV HVC aan te passen conform de wet WNT</w:t>
      </w:r>
      <w:r w:rsidR="008959E1" w:rsidRPr="00B95D4F">
        <w:rPr>
          <w:rFonts w:ascii="Verdana" w:hAnsi="Verdana"/>
          <w:sz w:val="20"/>
          <w:szCs w:val="20"/>
        </w:rPr>
        <w:t>, zowel voor de statutaire als de titulaire directieleden</w:t>
      </w:r>
      <w:r w:rsidRPr="00B95D4F">
        <w:rPr>
          <w:rFonts w:ascii="Verdana" w:hAnsi="Verdana"/>
          <w:sz w:val="20"/>
          <w:szCs w:val="20"/>
        </w:rPr>
        <w:t>.</w:t>
      </w:r>
    </w:p>
    <w:p w:rsidR="00ED0F2D" w:rsidRPr="00B95D4F" w:rsidRDefault="00ED0F2D" w:rsidP="0020335C">
      <w:pPr>
        <w:ind w:left="705" w:hanging="705"/>
        <w:rPr>
          <w:rFonts w:ascii="Verdana" w:hAnsi="Verdana"/>
          <w:sz w:val="20"/>
          <w:szCs w:val="20"/>
        </w:rPr>
      </w:pPr>
      <w:r w:rsidRPr="00B95D4F">
        <w:rPr>
          <w:rFonts w:ascii="Verdana" w:hAnsi="Verdana"/>
          <w:sz w:val="20"/>
          <w:szCs w:val="20"/>
        </w:rPr>
        <w:t>en gaat over tot de orde van de dag.</w:t>
      </w:r>
    </w:p>
    <w:sectPr w:rsidR="00ED0F2D" w:rsidRPr="00B95D4F" w:rsidSect="0066213B">
      <w:headerReference w:type="default" r:id="rId8"/>
      <w:footerReference w:type="default" r:id="rId9"/>
      <w:pgSz w:w="11906" w:h="16838" w:code="9"/>
      <w:pgMar w:top="284" w:right="1134" w:bottom="567"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17" w:rsidRDefault="00435317" w:rsidP="00ED0F2D">
      <w:pPr>
        <w:spacing w:after="0" w:line="240" w:lineRule="auto"/>
      </w:pPr>
      <w:r>
        <w:separator/>
      </w:r>
    </w:p>
  </w:endnote>
  <w:endnote w:type="continuationSeparator" w:id="0">
    <w:p w:rsidR="00435317" w:rsidRDefault="00435317" w:rsidP="00ED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2D" w:rsidRPr="0017093A" w:rsidRDefault="0017093A" w:rsidP="00ED0F2D">
    <w:pPr>
      <w:pStyle w:val="Voettekst"/>
      <w:jc w:val="center"/>
      <w:rPr>
        <w:rFonts w:ascii="Verdana" w:hAnsi="Verdana"/>
        <w:color w:val="1F4E79" w:themeColor="accent1" w:themeShade="80"/>
        <w:sz w:val="16"/>
        <w:szCs w:val="16"/>
      </w:rPr>
    </w:pPr>
    <w:r w:rsidRPr="0017093A">
      <w:rPr>
        <w:rFonts w:ascii="Verdana" w:hAnsi="Verdana"/>
        <w:color w:val="1F4E79" w:themeColor="accent1" w:themeShade="80"/>
        <w:sz w:val="16"/>
        <w:szCs w:val="16"/>
      </w:rPr>
      <w:t xml:space="preserve">AWP-motie salariëring topfunctionarissen verbonden partijen </w:t>
    </w:r>
    <w:r w:rsidR="00ED0F2D" w:rsidRPr="0017093A">
      <w:rPr>
        <w:rFonts w:ascii="Verdana" w:hAnsi="Verdana"/>
        <w:color w:val="1F4E79" w:themeColor="accent1" w:themeShade="80"/>
        <w:sz w:val="16"/>
        <w:szCs w:val="16"/>
      </w:rPr>
      <w:t xml:space="preserve"> -  Pagina </w:t>
    </w:r>
    <w:r w:rsidR="00ED0F2D" w:rsidRPr="0017093A">
      <w:rPr>
        <w:rFonts w:ascii="Verdana" w:hAnsi="Verdana"/>
        <w:color w:val="1F4E79" w:themeColor="accent1" w:themeShade="80"/>
        <w:sz w:val="16"/>
        <w:szCs w:val="16"/>
      </w:rPr>
      <w:fldChar w:fldCharType="begin"/>
    </w:r>
    <w:r w:rsidR="00ED0F2D" w:rsidRPr="0017093A">
      <w:rPr>
        <w:rFonts w:ascii="Verdana" w:hAnsi="Verdana"/>
        <w:color w:val="1F4E79" w:themeColor="accent1" w:themeShade="80"/>
        <w:sz w:val="16"/>
        <w:szCs w:val="16"/>
      </w:rPr>
      <w:instrText>PAGE  \* Arabic  \* MERGEFORMAT</w:instrText>
    </w:r>
    <w:r w:rsidR="00ED0F2D" w:rsidRPr="0017093A">
      <w:rPr>
        <w:rFonts w:ascii="Verdana" w:hAnsi="Verdana"/>
        <w:color w:val="1F4E79" w:themeColor="accent1" w:themeShade="80"/>
        <w:sz w:val="16"/>
        <w:szCs w:val="16"/>
      </w:rPr>
      <w:fldChar w:fldCharType="separate"/>
    </w:r>
    <w:r w:rsidR="002A3223">
      <w:rPr>
        <w:rFonts w:ascii="Verdana" w:hAnsi="Verdana"/>
        <w:noProof/>
        <w:color w:val="1F4E79" w:themeColor="accent1" w:themeShade="80"/>
        <w:sz w:val="16"/>
        <w:szCs w:val="16"/>
      </w:rPr>
      <w:t>1</w:t>
    </w:r>
    <w:r w:rsidR="00ED0F2D" w:rsidRPr="0017093A">
      <w:rPr>
        <w:rFonts w:ascii="Verdana" w:hAnsi="Verdana"/>
        <w:color w:val="1F4E79" w:themeColor="accent1" w:themeShade="80"/>
        <w:sz w:val="16"/>
        <w:szCs w:val="16"/>
      </w:rPr>
      <w:fldChar w:fldCharType="end"/>
    </w:r>
    <w:r w:rsidR="00ED0F2D" w:rsidRPr="0017093A">
      <w:rPr>
        <w:rFonts w:ascii="Verdana" w:hAnsi="Verdana"/>
        <w:color w:val="1F4E79" w:themeColor="accent1" w:themeShade="80"/>
        <w:sz w:val="16"/>
        <w:szCs w:val="16"/>
      </w:rPr>
      <w:t xml:space="preserve"> van </w:t>
    </w:r>
    <w:r w:rsidR="00ED0F2D" w:rsidRPr="0017093A">
      <w:rPr>
        <w:rFonts w:ascii="Verdana" w:hAnsi="Verdana"/>
        <w:color w:val="1F4E79" w:themeColor="accent1" w:themeShade="80"/>
        <w:sz w:val="16"/>
        <w:szCs w:val="16"/>
      </w:rPr>
      <w:fldChar w:fldCharType="begin"/>
    </w:r>
    <w:r w:rsidR="00ED0F2D" w:rsidRPr="0017093A">
      <w:rPr>
        <w:rFonts w:ascii="Verdana" w:hAnsi="Verdana"/>
        <w:color w:val="1F4E79" w:themeColor="accent1" w:themeShade="80"/>
        <w:sz w:val="16"/>
        <w:szCs w:val="16"/>
      </w:rPr>
      <w:instrText>NUMPAGES \ * Arabisch \ * MERGEFORMAT</w:instrText>
    </w:r>
    <w:r w:rsidR="00ED0F2D" w:rsidRPr="0017093A">
      <w:rPr>
        <w:rFonts w:ascii="Verdana" w:hAnsi="Verdana"/>
        <w:color w:val="1F4E79" w:themeColor="accent1" w:themeShade="80"/>
        <w:sz w:val="16"/>
        <w:szCs w:val="16"/>
      </w:rPr>
      <w:fldChar w:fldCharType="separate"/>
    </w:r>
    <w:r w:rsidR="002A3223">
      <w:rPr>
        <w:rFonts w:ascii="Verdana" w:hAnsi="Verdana"/>
        <w:noProof/>
        <w:color w:val="1F4E79" w:themeColor="accent1" w:themeShade="80"/>
        <w:sz w:val="16"/>
        <w:szCs w:val="16"/>
      </w:rPr>
      <w:t>1</w:t>
    </w:r>
    <w:r w:rsidR="00ED0F2D" w:rsidRPr="0017093A">
      <w:rPr>
        <w:rFonts w:ascii="Verdana" w:hAnsi="Verdana"/>
        <w:color w:val="1F4E79" w:themeColor="accent1" w:themeShade="80"/>
        <w:sz w:val="16"/>
        <w:szCs w:val="16"/>
      </w:rPr>
      <w:fldChar w:fldCharType="end"/>
    </w:r>
  </w:p>
  <w:p w:rsidR="00ED0F2D" w:rsidRPr="0017093A" w:rsidRDefault="00ED0F2D" w:rsidP="00ED0F2D">
    <w:pPr>
      <w:pStyle w:val="Voettekst"/>
      <w:rPr>
        <w:rFonts w:ascii="Verdana" w:hAnsi="Verdana"/>
        <w:color w:val="1F4E79" w:themeColor="accent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17" w:rsidRDefault="00435317" w:rsidP="00ED0F2D">
      <w:pPr>
        <w:spacing w:after="0" w:line="240" w:lineRule="auto"/>
      </w:pPr>
      <w:r>
        <w:separator/>
      </w:r>
    </w:p>
  </w:footnote>
  <w:footnote w:type="continuationSeparator" w:id="0">
    <w:p w:rsidR="00435317" w:rsidRDefault="00435317" w:rsidP="00ED0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1C" w:rsidRDefault="0069411C" w:rsidP="0069411C">
    <w:pPr>
      <w:pStyle w:val="Koptekst"/>
      <w:jc w:val="right"/>
    </w:pPr>
    <w:r>
      <w:rPr>
        <w:noProof/>
        <w:lang w:eastAsia="nl-NL"/>
      </w:rPr>
      <w:drawing>
        <wp:inline distT="0" distB="0" distL="0" distR="0">
          <wp:extent cx="1975104" cy="896112"/>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P-logo-klein.jpg"/>
                  <pic:cNvPicPr/>
                </pic:nvPicPr>
                <pic:blipFill>
                  <a:blip r:embed="rId1">
                    <a:extLst>
                      <a:ext uri="{28A0092B-C50C-407E-A947-70E740481C1C}">
                        <a14:useLocalDpi xmlns:a14="http://schemas.microsoft.com/office/drawing/2010/main" val="0"/>
                      </a:ext>
                    </a:extLst>
                  </a:blip>
                  <a:stretch>
                    <a:fillRect/>
                  </a:stretch>
                </pic:blipFill>
                <pic:spPr>
                  <a:xfrm>
                    <a:off x="0" y="0"/>
                    <a:ext cx="1975104" cy="896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663FD"/>
    <w:multiLevelType w:val="hybridMultilevel"/>
    <w:tmpl w:val="6CE86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B067C5"/>
    <w:multiLevelType w:val="hybridMultilevel"/>
    <w:tmpl w:val="9FC24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5A03C7"/>
    <w:multiLevelType w:val="hybridMultilevel"/>
    <w:tmpl w:val="160E83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BA"/>
    <w:rsid w:val="000162BA"/>
    <w:rsid w:val="0007261C"/>
    <w:rsid w:val="00161956"/>
    <w:rsid w:val="0017093A"/>
    <w:rsid w:val="0020335C"/>
    <w:rsid w:val="002A3223"/>
    <w:rsid w:val="003532CA"/>
    <w:rsid w:val="0037044F"/>
    <w:rsid w:val="00412F55"/>
    <w:rsid w:val="00422A3B"/>
    <w:rsid w:val="00435317"/>
    <w:rsid w:val="004A146C"/>
    <w:rsid w:val="00540358"/>
    <w:rsid w:val="005608AB"/>
    <w:rsid w:val="00567307"/>
    <w:rsid w:val="0059284D"/>
    <w:rsid w:val="005A1F5F"/>
    <w:rsid w:val="005D282B"/>
    <w:rsid w:val="006230A6"/>
    <w:rsid w:val="0066213B"/>
    <w:rsid w:val="0069411C"/>
    <w:rsid w:val="00705B17"/>
    <w:rsid w:val="0072396E"/>
    <w:rsid w:val="008959E1"/>
    <w:rsid w:val="008F507D"/>
    <w:rsid w:val="0093357F"/>
    <w:rsid w:val="009D3A73"/>
    <w:rsid w:val="00A4542D"/>
    <w:rsid w:val="00A852DF"/>
    <w:rsid w:val="00B04791"/>
    <w:rsid w:val="00B06B71"/>
    <w:rsid w:val="00B90AFB"/>
    <w:rsid w:val="00B95D4F"/>
    <w:rsid w:val="00BB59A7"/>
    <w:rsid w:val="00BC0482"/>
    <w:rsid w:val="00D12B69"/>
    <w:rsid w:val="00D22C22"/>
    <w:rsid w:val="00D47A66"/>
    <w:rsid w:val="00D72C32"/>
    <w:rsid w:val="00DE3AE8"/>
    <w:rsid w:val="00E330B6"/>
    <w:rsid w:val="00ED0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44B753-FCC8-4992-A9C7-CC7B9E15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61C"/>
    <w:pPr>
      <w:ind w:left="720"/>
      <w:contextualSpacing/>
    </w:pPr>
  </w:style>
  <w:style w:type="paragraph" w:styleId="Koptekst">
    <w:name w:val="header"/>
    <w:basedOn w:val="Standaard"/>
    <w:link w:val="KoptekstChar"/>
    <w:uiPriority w:val="99"/>
    <w:unhideWhenUsed/>
    <w:rsid w:val="00ED0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F2D"/>
  </w:style>
  <w:style w:type="paragraph" w:styleId="Voettekst">
    <w:name w:val="footer"/>
    <w:basedOn w:val="Standaard"/>
    <w:link w:val="VoettekstChar"/>
    <w:uiPriority w:val="99"/>
    <w:unhideWhenUsed/>
    <w:rsid w:val="00ED0F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F2D"/>
  </w:style>
  <w:style w:type="paragraph" w:styleId="Geenafstand">
    <w:name w:val="No Spacing"/>
    <w:uiPriority w:val="1"/>
    <w:qFormat/>
    <w:rsid w:val="0066213B"/>
    <w:pPr>
      <w:spacing w:after="0" w:line="240" w:lineRule="auto"/>
    </w:pPr>
  </w:style>
  <w:style w:type="paragraph" w:styleId="Ballontekst">
    <w:name w:val="Balloon Text"/>
    <w:basedOn w:val="Standaard"/>
    <w:link w:val="BallontekstChar"/>
    <w:uiPriority w:val="99"/>
    <w:semiHidden/>
    <w:unhideWhenUsed/>
    <w:rsid w:val="009D3A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7426">
      <w:bodyDiv w:val="1"/>
      <w:marLeft w:val="0"/>
      <w:marRight w:val="0"/>
      <w:marTop w:val="0"/>
      <w:marBottom w:val="0"/>
      <w:divBdr>
        <w:top w:val="none" w:sz="0" w:space="0" w:color="auto"/>
        <w:left w:val="none" w:sz="0" w:space="0" w:color="auto"/>
        <w:bottom w:val="none" w:sz="0" w:space="0" w:color="auto"/>
        <w:right w:val="none" w:sz="0" w:space="0" w:color="auto"/>
      </w:divBdr>
    </w:div>
    <w:div w:id="18834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AAC3-7B95-4DF9-B564-2E362AD7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Universiteit van Amsterdam</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de Jonge</dc:creator>
  <cp:lastModifiedBy>Conrad-Smit, AJA</cp:lastModifiedBy>
  <cp:revision>2</cp:revision>
  <cp:lastPrinted>2016-05-12T07:58:00Z</cp:lastPrinted>
  <dcterms:created xsi:type="dcterms:W3CDTF">2016-05-12T07:59:00Z</dcterms:created>
  <dcterms:modified xsi:type="dcterms:W3CDTF">2016-05-12T07:59:00Z</dcterms:modified>
</cp:coreProperties>
</file>