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F1D80" w14:textId="77777777" w:rsidR="00F47C36" w:rsidRPr="00D313EE" w:rsidRDefault="00F47C36" w:rsidP="00D313EE">
      <w:pPr>
        <w:spacing w:line="360" w:lineRule="auto"/>
        <w:rPr>
          <w:b/>
        </w:rPr>
      </w:pPr>
      <w:bookmarkStart w:id="0" w:name="_GoBack"/>
      <w:bookmarkEnd w:id="0"/>
      <w:r w:rsidRPr="00F47C36">
        <w:rPr>
          <w:b/>
        </w:rPr>
        <w:t>Interpretatie van de kengetallen</w:t>
      </w:r>
    </w:p>
    <w:p w14:paraId="569F1D81" w14:textId="6C0D2237" w:rsidR="00F47C36" w:rsidRPr="006C079E" w:rsidRDefault="00D313EE" w:rsidP="006C079E">
      <w:pPr>
        <w:spacing w:after="0"/>
        <w:rPr>
          <w:lang w:eastAsia="en-US"/>
        </w:rPr>
      </w:pPr>
      <w:r>
        <w:rPr>
          <w:lang w:eastAsia="en-US"/>
        </w:rPr>
        <w:t>Om een goed beeld te vormen van de kengetallen volgt hieronder een korte toelichting op de betekenis van de kengetallen en welke signaleringswaarden er gebruikt worden om aan te geven wanneer bepaalde waarden als risicovol aan te merken zijn</w:t>
      </w:r>
      <w:r w:rsidR="00CE4FAE">
        <w:rPr>
          <w:lang w:eastAsia="en-US"/>
        </w:rPr>
        <w:t>.</w:t>
      </w:r>
    </w:p>
    <w:p w14:paraId="569F1D82" w14:textId="77777777" w:rsidR="00D313EE" w:rsidRDefault="00D313EE" w:rsidP="006C079E">
      <w:pPr>
        <w:spacing w:after="0"/>
        <w:rPr>
          <w:lang w:eastAsia="en-US"/>
        </w:rPr>
      </w:pPr>
    </w:p>
    <w:p w14:paraId="569F1D83" w14:textId="77777777" w:rsidR="00F47C36" w:rsidRPr="00D313EE" w:rsidRDefault="00F47C36" w:rsidP="006C079E">
      <w:pPr>
        <w:spacing w:after="0"/>
        <w:rPr>
          <w:i/>
          <w:lang w:eastAsia="en-US"/>
        </w:rPr>
      </w:pPr>
      <w:r w:rsidRPr="00D313EE">
        <w:rPr>
          <w:i/>
          <w:lang w:eastAsia="en-US"/>
        </w:rPr>
        <w:t>Netto Schuldquote</w:t>
      </w:r>
    </w:p>
    <w:p w14:paraId="569F1D84" w14:textId="7CEAF187" w:rsidR="00F47C36" w:rsidRPr="006C079E" w:rsidRDefault="00F47C36" w:rsidP="006C079E">
      <w:pPr>
        <w:spacing w:after="0"/>
        <w:rPr>
          <w:lang w:eastAsia="en-US"/>
        </w:rPr>
      </w:pPr>
      <w:r w:rsidRPr="006C079E">
        <w:rPr>
          <w:lang w:eastAsia="en-US"/>
        </w:rPr>
        <w:t>De netto schuldquote moet inzicht geven in de schuldenlast. Dit kengetal wordt bepaald door het totaal van de geleende gelden te verminderen met de eigen middelen (vandaar netto). Dit saldo wordt uitgedrukt in een percentage van de totale jaarlijkse baten. De netto schuldquote geeft een indicatie van de druk van de rentelasten en de aflossingen in de exploitatie. Een hoge netto schuldquote houdt in dat er relatief veel r</w:t>
      </w:r>
      <w:r w:rsidR="00CE4FAE">
        <w:rPr>
          <w:lang w:eastAsia="en-US"/>
        </w:rPr>
        <w:t>entelasten en aflossingen zijn.</w:t>
      </w:r>
    </w:p>
    <w:p w14:paraId="569F1D85" w14:textId="77777777" w:rsidR="00F47C36" w:rsidRPr="006C079E" w:rsidRDefault="00F47C36" w:rsidP="006C079E">
      <w:pPr>
        <w:spacing w:after="0"/>
        <w:rPr>
          <w:i/>
          <w:lang w:eastAsia="en-US"/>
        </w:rPr>
      </w:pPr>
    </w:p>
    <w:p w14:paraId="569F1D86" w14:textId="77777777" w:rsidR="00F47C36" w:rsidRPr="00F47C36" w:rsidRDefault="00F47C36" w:rsidP="006C079E">
      <w:pPr>
        <w:spacing w:after="0"/>
        <w:rPr>
          <w:i/>
          <w:lang w:eastAsia="en-US"/>
        </w:rPr>
      </w:pPr>
      <w:r w:rsidRPr="00F47C36">
        <w:rPr>
          <w:i/>
          <w:lang w:eastAsia="en-US"/>
        </w:rPr>
        <w:t>Gecorrigeerde Netto Schuldquote</w:t>
      </w:r>
    </w:p>
    <w:p w14:paraId="569F1D87" w14:textId="3C68C965" w:rsidR="00F47C36" w:rsidRPr="006C079E" w:rsidRDefault="00F47C36" w:rsidP="006C079E">
      <w:pPr>
        <w:spacing w:after="0"/>
        <w:rPr>
          <w:lang w:eastAsia="en-US"/>
        </w:rPr>
      </w:pPr>
      <w:r w:rsidRPr="006C079E">
        <w:rPr>
          <w:lang w:eastAsia="en-US"/>
        </w:rPr>
        <w:t xml:space="preserve">Een hoge netto schuldquote hoeft niet altijd een probleem te zijn. Een oorzaak van een hoge schuldquote kan zijn dat veel van de geleende gelden doorgeleend worden. De rentelasten en aflossingen worden dan voldaan door de organisaties aan wie deze leningen zijn verstrekt. Om inzicht te krijgen in hoeverre er sprake </w:t>
      </w:r>
      <w:r w:rsidR="00EA20FC">
        <w:rPr>
          <w:lang w:eastAsia="en-US"/>
        </w:rPr>
        <w:t xml:space="preserve">is van doorlenen wordt de netto </w:t>
      </w:r>
      <w:r w:rsidRPr="006C079E">
        <w:rPr>
          <w:lang w:eastAsia="en-US"/>
        </w:rPr>
        <w:t>schuldquote gecorrigeerd door verstre</w:t>
      </w:r>
      <w:r w:rsidR="00EA20FC">
        <w:rPr>
          <w:lang w:eastAsia="en-US"/>
        </w:rPr>
        <w:t>kte leningen. Dit leidt tot de gecorrigeerde netto s</w:t>
      </w:r>
      <w:r w:rsidRPr="006C079E">
        <w:rPr>
          <w:lang w:eastAsia="en-US"/>
        </w:rPr>
        <w:t>chuldquote. Deze geeft dus inzicht in het deel van de leningen waarvan de rentelasten en aflossingen drukken op de eigen org</w:t>
      </w:r>
      <w:r w:rsidR="00EA20FC">
        <w:rPr>
          <w:lang w:eastAsia="en-US"/>
        </w:rPr>
        <w:t>anisatie. Dit kengetal wordt</w:t>
      </w:r>
      <w:r w:rsidRPr="006C079E">
        <w:rPr>
          <w:lang w:eastAsia="en-US"/>
        </w:rPr>
        <w:t xml:space="preserve"> berekend door de geleende gelden te corrigeren met de eigen middelen en de verstrekte leningen aan derden. Dit saldo wordt vervolgens uitgedrukt in een percentage </w:t>
      </w:r>
      <w:r w:rsidR="00CE4FAE">
        <w:rPr>
          <w:lang w:eastAsia="en-US"/>
        </w:rPr>
        <w:t>van de totale jaarlijkse baten.</w:t>
      </w:r>
    </w:p>
    <w:p w14:paraId="569F1D88" w14:textId="77777777" w:rsidR="00F47C36" w:rsidRPr="006C079E" w:rsidRDefault="00F47C36" w:rsidP="006C079E">
      <w:pPr>
        <w:spacing w:after="0"/>
        <w:rPr>
          <w:i/>
          <w:lang w:eastAsia="en-US"/>
        </w:rPr>
      </w:pPr>
    </w:p>
    <w:p w14:paraId="569F1D89" w14:textId="77777777" w:rsidR="00F47C36" w:rsidRPr="00F47C36" w:rsidRDefault="00F47C36" w:rsidP="006C079E">
      <w:pPr>
        <w:spacing w:after="0"/>
        <w:rPr>
          <w:i/>
          <w:lang w:eastAsia="en-US"/>
        </w:rPr>
      </w:pPr>
      <w:r w:rsidRPr="00F47C36">
        <w:rPr>
          <w:i/>
          <w:lang w:eastAsia="en-US"/>
        </w:rPr>
        <w:t>Solvabiliteit</w:t>
      </w:r>
    </w:p>
    <w:p w14:paraId="569F1D8A" w14:textId="1B03025B" w:rsidR="00F47C36" w:rsidRPr="006C079E" w:rsidRDefault="00F47C36" w:rsidP="006C079E">
      <w:pPr>
        <w:spacing w:after="0"/>
        <w:rPr>
          <w:lang w:eastAsia="en-US"/>
        </w:rPr>
      </w:pPr>
      <w:r w:rsidRPr="006C079E">
        <w:rPr>
          <w:lang w:eastAsia="en-US"/>
        </w:rPr>
        <w:t xml:space="preserve">De solvabiliteit gaat in op de mate </w:t>
      </w:r>
      <w:r w:rsidR="00D313EE">
        <w:rPr>
          <w:lang w:eastAsia="en-US"/>
        </w:rPr>
        <w:t>waarin een gemeente</w:t>
      </w:r>
      <w:r w:rsidRPr="006C079E">
        <w:rPr>
          <w:lang w:eastAsia="en-US"/>
        </w:rPr>
        <w:t xml:space="preserve"> in staat is om aan haar financiële verplichtingen te voldoen. De solvabiliteitsratio is het eigen vermogen als percentage van het totaal van de passiva (eigen en vreemd vermogen samen). Een hoog ratio betekend dat een gemeente relatief veel eigen vermogen heeft. Dit geeft aan dat men goed in staat is om aan de financiële verplichtingen te voldoen</w:t>
      </w:r>
      <w:r w:rsidR="00CE4FAE">
        <w:rPr>
          <w:lang w:eastAsia="en-US"/>
        </w:rPr>
        <w:t>.</w:t>
      </w:r>
    </w:p>
    <w:p w14:paraId="569F1D8B" w14:textId="77777777" w:rsidR="00F47C36" w:rsidRPr="006C079E" w:rsidRDefault="00F47C36" w:rsidP="006C079E">
      <w:pPr>
        <w:spacing w:after="0"/>
        <w:rPr>
          <w:i/>
          <w:lang w:eastAsia="en-US"/>
        </w:rPr>
      </w:pPr>
    </w:p>
    <w:p w14:paraId="569F1D8C" w14:textId="77777777" w:rsidR="00F47C36" w:rsidRPr="00F47C36" w:rsidRDefault="00F47C36" w:rsidP="006C079E">
      <w:pPr>
        <w:spacing w:after="0"/>
        <w:rPr>
          <w:i/>
          <w:lang w:eastAsia="en-US"/>
        </w:rPr>
      </w:pPr>
      <w:r w:rsidRPr="00F47C36">
        <w:rPr>
          <w:i/>
          <w:lang w:eastAsia="en-US"/>
        </w:rPr>
        <w:t>Structurele exploitatieruimte</w:t>
      </w:r>
    </w:p>
    <w:p w14:paraId="569F1D8D" w14:textId="4CD0B574" w:rsidR="00F47C36" w:rsidRPr="006C079E" w:rsidRDefault="00F47C36" w:rsidP="006C079E">
      <w:pPr>
        <w:spacing w:after="0"/>
        <w:rPr>
          <w:lang w:eastAsia="en-US"/>
        </w:rPr>
      </w:pPr>
      <w:r w:rsidRPr="006C079E">
        <w:rPr>
          <w:lang w:eastAsia="en-US"/>
        </w:rPr>
        <w:t>Dit kengetal wordt berekend door de structurele baten te verminderen met de structurele lasten. Dit saldo wordt weergegeven in een percentage van de totale baten. Een positief percentage houdt in dat de structurele baten toereikend zijn om de structurele lasten te dekken. Bij een negatief percentage zijn de structurele lasten groter dan de structurele baten. De gemeente loopt dan het risico dat er tekorten in de b</w:t>
      </w:r>
      <w:r w:rsidR="00CE4FAE">
        <w:rPr>
          <w:lang w:eastAsia="en-US"/>
        </w:rPr>
        <w:t>egroting/jaarrekening ontstaan.</w:t>
      </w:r>
    </w:p>
    <w:p w14:paraId="569F1D8E" w14:textId="77777777" w:rsidR="00F47C36" w:rsidRPr="006C079E" w:rsidRDefault="00F47C36" w:rsidP="006C079E">
      <w:pPr>
        <w:spacing w:after="0"/>
        <w:rPr>
          <w:i/>
          <w:lang w:eastAsia="en-US"/>
        </w:rPr>
      </w:pPr>
    </w:p>
    <w:p w14:paraId="569F1D8F" w14:textId="77777777" w:rsidR="00F47C36" w:rsidRPr="00F47C36" w:rsidRDefault="00F47C36" w:rsidP="006C079E">
      <w:pPr>
        <w:spacing w:after="0"/>
        <w:rPr>
          <w:i/>
          <w:lang w:eastAsia="en-US"/>
        </w:rPr>
      </w:pPr>
      <w:r w:rsidRPr="00F47C36">
        <w:rPr>
          <w:i/>
          <w:lang w:eastAsia="en-US"/>
        </w:rPr>
        <w:t>Belastingcapaciteit</w:t>
      </w:r>
    </w:p>
    <w:p w14:paraId="569F1D90" w14:textId="614F87C9" w:rsidR="00F47C36" w:rsidRPr="006C079E" w:rsidRDefault="00F47C36" w:rsidP="006C079E">
      <w:pPr>
        <w:spacing w:after="0"/>
        <w:rPr>
          <w:lang w:eastAsia="en-US"/>
        </w:rPr>
      </w:pPr>
      <w:r w:rsidRPr="006C079E">
        <w:rPr>
          <w:lang w:eastAsia="en-US"/>
        </w:rPr>
        <w:t xml:space="preserve">De belastingcapaciteit geeft inzicht hoe de belastingdruk van </w:t>
      </w:r>
      <w:r w:rsidR="00D313EE">
        <w:rPr>
          <w:lang w:eastAsia="en-US"/>
        </w:rPr>
        <w:t>gemeente</w:t>
      </w:r>
      <w:r w:rsidRPr="006C079E">
        <w:rPr>
          <w:lang w:eastAsia="en-US"/>
        </w:rPr>
        <w:t xml:space="preserve"> zich verhoudt ten opzichte van het landelijke gemiddelde. Hierbij is een belastingcapaciteit van 100% precies gelijk aan het landelijk gemiddelde. Bij gemeenten </w:t>
      </w:r>
      <w:r w:rsidR="00D313EE">
        <w:rPr>
          <w:lang w:eastAsia="en-US"/>
        </w:rPr>
        <w:t>is hierin de</w:t>
      </w:r>
      <w:r w:rsidRPr="006C079E">
        <w:rPr>
          <w:lang w:eastAsia="en-US"/>
        </w:rPr>
        <w:t xml:space="preserve"> OZB-lasten, Rioolheffing, Afvalstoffenheffing en naar de eventuele heffingskorting</w:t>
      </w:r>
      <w:r w:rsidR="00D313EE">
        <w:rPr>
          <w:lang w:eastAsia="en-US"/>
        </w:rPr>
        <w:t xml:space="preserve"> betrokken</w:t>
      </w:r>
      <w:r w:rsidRPr="006C079E">
        <w:rPr>
          <w:lang w:eastAsia="en-US"/>
        </w:rPr>
        <w:t xml:space="preserve">. Dit zijn de belangrijkste inkomstenbronnen voor respectievelijk de </w:t>
      </w:r>
      <w:r w:rsidR="00D313EE">
        <w:rPr>
          <w:lang w:eastAsia="en-US"/>
        </w:rPr>
        <w:t>gemeente</w:t>
      </w:r>
      <w:r w:rsidRPr="006C079E">
        <w:rPr>
          <w:lang w:eastAsia="en-US"/>
        </w:rPr>
        <w:t xml:space="preserve">. Een lage belastingcapaciteit geeft aan dat de gemeente nog ruimte heeft om </w:t>
      </w:r>
      <w:r w:rsidR="00CE4FAE">
        <w:rPr>
          <w:lang w:eastAsia="en-US"/>
        </w:rPr>
        <w:t>structurele baten te genereren.</w:t>
      </w:r>
    </w:p>
    <w:p w14:paraId="569F1D91" w14:textId="77777777" w:rsidR="00F47C36" w:rsidRPr="00D313EE" w:rsidRDefault="00F47C36" w:rsidP="006C079E">
      <w:pPr>
        <w:spacing w:after="0"/>
        <w:rPr>
          <w:i/>
          <w:lang w:eastAsia="en-US"/>
        </w:rPr>
      </w:pPr>
      <w:r w:rsidRPr="00D313EE">
        <w:rPr>
          <w:i/>
          <w:lang w:eastAsia="en-US"/>
        </w:rPr>
        <w:lastRenderedPageBreak/>
        <w:t>Grondexploitatie</w:t>
      </w:r>
    </w:p>
    <w:p w14:paraId="569F1D92" w14:textId="2933FBA6" w:rsidR="00F47C36" w:rsidRPr="006C079E" w:rsidRDefault="00F47C36" w:rsidP="006C079E">
      <w:pPr>
        <w:spacing w:after="0"/>
        <w:rPr>
          <w:lang w:eastAsia="en-US"/>
        </w:rPr>
      </w:pPr>
      <w:r w:rsidRPr="006C079E">
        <w:rPr>
          <w:lang w:eastAsia="en-US"/>
        </w:rPr>
        <w:t>Het kengetal grondexploitaties drukt de boekwaarde van de grondposities uit in een percentage van de totale jaarlijkse baten. Een hoge grondexploitatie betekend een grote boekwaarde. Hierbij kan een gemeente het risico lopen dat deze boekwaarde, bij verkoop van de gronden, niet volledig gerealiseerd worden. Aan de andere kant kan een hoge grondexploitatie betekenen dat bij verkoop de opbrengsten (incidentele baten) gebruikt kunnen worden om de schuldenlast af te bouwen</w:t>
      </w:r>
    </w:p>
    <w:p w14:paraId="569F1D93" w14:textId="77777777" w:rsidR="00F47C36" w:rsidRPr="00F47C36" w:rsidRDefault="00F47C36" w:rsidP="006C079E">
      <w:pPr>
        <w:spacing w:after="0"/>
        <w:rPr>
          <w:i/>
          <w:lang w:eastAsia="en-US"/>
        </w:rPr>
      </w:pPr>
    </w:p>
    <w:p w14:paraId="569F1D94" w14:textId="77777777" w:rsidR="00F47C36" w:rsidRPr="00F47C36" w:rsidRDefault="00F47C36" w:rsidP="006C079E">
      <w:pPr>
        <w:spacing w:after="0"/>
        <w:rPr>
          <w:i/>
          <w:lang w:eastAsia="en-US"/>
        </w:rPr>
      </w:pPr>
      <w:r w:rsidRPr="00F47C36">
        <w:rPr>
          <w:i/>
          <w:lang w:eastAsia="en-US"/>
        </w:rPr>
        <w:t>De signaleringswaarden</w:t>
      </w:r>
    </w:p>
    <w:p w14:paraId="569F1D95" w14:textId="5B4DB0A6" w:rsidR="00F47C36" w:rsidRPr="006C079E" w:rsidRDefault="00F47C36" w:rsidP="006C079E">
      <w:pPr>
        <w:spacing w:after="0"/>
      </w:pPr>
      <w:r w:rsidRPr="006C079E">
        <w:rPr>
          <w:lang w:eastAsia="en-US"/>
        </w:rPr>
        <w:t>Het doel van de commissie Depla was niet om de in</w:t>
      </w:r>
      <w:r w:rsidR="004823A8">
        <w:rPr>
          <w:lang w:eastAsia="en-US"/>
        </w:rPr>
        <w:t>di</w:t>
      </w:r>
      <w:r w:rsidRPr="006C079E">
        <w:rPr>
          <w:lang w:eastAsia="en-US"/>
        </w:rPr>
        <w:t>viduele kengetallen te koppelen aan normeringswaarden. Het is aan de gemeenteraad zelf om een oordeel te vormen over de</w:t>
      </w:r>
      <w:r w:rsidRPr="006C079E">
        <w:t xml:space="preserve"> kengetallen. Wel zijn er signaleringswaarden opgesteld. Deze signaleringswaarden kunnen gebruikt worden om te bepalen of de waarde van de kengetallen duiden op een zwakke/sterke financiële positie. In de onderstaande tabel is een overzicht van de kengetallen en bijbehorende signaleringswaarden. </w:t>
      </w:r>
      <w:r w:rsidR="00F44D5C">
        <w:t>Deze signaleringswaarden zijn gebaseerd op de stresstests van 100.000+ gemeenten. Gemeenten zijn vr</w:t>
      </w:r>
      <w:r w:rsidR="00CE4FAE">
        <w:t>ij om zelf andere signaleringswa</w:t>
      </w:r>
      <w:r w:rsidR="00F44D5C">
        <w:t xml:space="preserve">arden te gebruiken. </w:t>
      </w:r>
    </w:p>
    <w:tbl>
      <w:tblPr>
        <w:tblW w:w="8794" w:type="dxa"/>
        <w:tblInd w:w="55" w:type="dxa"/>
        <w:tblCellMar>
          <w:left w:w="0" w:type="dxa"/>
          <w:right w:w="0" w:type="dxa"/>
        </w:tblCellMar>
        <w:tblLook w:val="04A0" w:firstRow="1" w:lastRow="0" w:firstColumn="1" w:lastColumn="0" w:noHBand="0" w:noVBand="1"/>
      </w:tblPr>
      <w:tblGrid>
        <w:gridCol w:w="318"/>
        <w:gridCol w:w="1825"/>
        <w:gridCol w:w="1864"/>
        <w:gridCol w:w="1701"/>
        <w:gridCol w:w="1701"/>
        <w:gridCol w:w="1691"/>
      </w:tblGrid>
      <w:tr w:rsidR="00F47C36" w:rsidRPr="00F47C36" w14:paraId="569F1D9E" w14:textId="77777777" w:rsidTr="00F47C36">
        <w:trPr>
          <w:trHeight w:val="194"/>
        </w:trPr>
        <w:tc>
          <w:tcPr>
            <w:tcW w:w="1837" w:type="dxa"/>
            <w:gridSpan w:val="2"/>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569F1D96" w14:textId="77777777" w:rsidR="00F47C36" w:rsidRPr="00F47C36" w:rsidRDefault="00F47C36" w:rsidP="00573680">
            <w:pPr>
              <w:autoSpaceDN w:val="0"/>
              <w:rPr>
                <w:rFonts w:eastAsia="Calibri"/>
                <w:b/>
                <w:bCs/>
                <w:color w:val="000000"/>
              </w:rPr>
            </w:pPr>
            <w:r w:rsidRPr="00F47C36">
              <w:rPr>
                <w:rFonts w:eastAsia="Calibri"/>
                <w:b/>
                <w:bCs/>
                <w:color w:val="000000"/>
              </w:rPr>
              <w:t>Kengetal</w:t>
            </w:r>
          </w:p>
        </w:tc>
        <w:tc>
          <w:tcPr>
            <w:tcW w:w="186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69F1D97" w14:textId="77777777" w:rsidR="00F47C36" w:rsidRPr="00F47C36" w:rsidRDefault="00F47C36" w:rsidP="00573680">
            <w:pPr>
              <w:autoSpaceDN w:val="0"/>
              <w:rPr>
                <w:rFonts w:eastAsia="Calibri"/>
                <w:b/>
                <w:bCs/>
                <w:color w:val="000000"/>
              </w:rPr>
            </w:pPr>
            <w:r w:rsidRPr="00F47C36">
              <w:rPr>
                <w:rFonts w:eastAsia="Calibri"/>
                <w:b/>
                <w:bCs/>
                <w:color w:val="000000"/>
              </w:rPr>
              <w:t> </w:t>
            </w:r>
          </w:p>
        </w:tc>
        <w:tc>
          <w:tcPr>
            <w:tcW w:w="1701" w:type="dxa"/>
            <w:tcBorders>
              <w:top w:val="single" w:sz="8" w:space="0" w:color="auto"/>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569F1D98" w14:textId="77777777" w:rsidR="00F47C36" w:rsidRPr="00F47C36" w:rsidRDefault="00F47C36" w:rsidP="00573680">
            <w:pPr>
              <w:autoSpaceDN w:val="0"/>
              <w:jc w:val="center"/>
              <w:rPr>
                <w:rFonts w:eastAsia="Calibri"/>
                <w:b/>
                <w:bCs/>
                <w:color w:val="000000"/>
              </w:rPr>
            </w:pPr>
            <w:r w:rsidRPr="00F47C36">
              <w:rPr>
                <w:rFonts w:eastAsia="Calibri"/>
                <w:b/>
                <w:bCs/>
                <w:color w:val="000000"/>
              </w:rPr>
              <w:t>Categorie A</w:t>
            </w:r>
          </w:p>
          <w:p w14:paraId="569F1D99" w14:textId="77777777" w:rsidR="00F47C36" w:rsidRPr="00F47C36" w:rsidRDefault="00F47C36" w:rsidP="00573680">
            <w:pPr>
              <w:autoSpaceDN w:val="0"/>
              <w:jc w:val="center"/>
              <w:rPr>
                <w:rFonts w:eastAsia="Calibri"/>
                <w:b/>
                <w:bCs/>
                <w:color w:val="000000"/>
              </w:rPr>
            </w:pPr>
            <w:r w:rsidRPr="00F47C36">
              <w:rPr>
                <w:rFonts w:eastAsia="Calibri"/>
                <w:b/>
                <w:bCs/>
                <w:color w:val="000000"/>
              </w:rPr>
              <w:t>Minst risicovol</w:t>
            </w:r>
          </w:p>
        </w:tc>
        <w:tc>
          <w:tcPr>
            <w:tcW w:w="1701"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69F1D9A" w14:textId="77777777" w:rsidR="00F47C36" w:rsidRPr="00F47C36" w:rsidRDefault="00F47C36" w:rsidP="00573680">
            <w:pPr>
              <w:autoSpaceDN w:val="0"/>
              <w:jc w:val="center"/>
              <w:rPr>
                <w:rFonts w:eastAsia="Calibri"/>
                <w:b/>
                <w:bCs/>
                <w:color w:val="000000"/>
              </w:rPr>
            </w:pPr>
            <w:r w:rsidRPr="00F47C36">
              <w:rPr>
                <w:rFonts w:eastAsia="Calibri"/>
                <w:b/>
                <w:bCs/>
                <w:color w:val="000000"/>
              </w:rPr>
              <w:t>Categorie B</w:t>
            </w:r>
          </w:p>
          <w:p w14:paraId="569F1D9B" w14:textId="77777777" w:rsidR="00F47C36" w:rsidRPr="00F47C36" w:rsidRDefault="00F47C36" w:rsidP="00573680">
            <w:pPr>
              <w:autoSpaceDN w:val="0"/>
              <w:jc w:val="center"/>
              <w:rPr>
                <w:rFonts w:eastAsia="Calibri"/>
                <w:b/>
                <w:bCs/>
                <w:color w:val="000000"/>
              </w:rPr>
            </w:pPr>
            <w:r w:rsidRPr="00F47C36">
              <w:rPr>
                <w:rFonts w:eastAsia="Calibri"/>
                <w:b/>
                <w:bCs/>
                <w:color w:val="000000"/>
              </w:rPr>
              <w:t xml:space="preserve">Neutraal </w:t>
            </w:r>
          </w:p>
        </w:tc>
        <w:tc>
          <w:tcPr>
            <w:tcW w:w="1691" w:type="dxa"/>
            <w:tcBorders>
              <w:top w:val="single" w:sz="8" w:space="0" w:color="auto"/>
              <w:left w:val="nil"/>
              <w:bottom w:val="single" w:sz="8" w:space="0" w:color="auto"/>
              <w:right w:val="single" w:sz="8" w:space="0" w:color="auto"/>
            </w:tcBorders>
            <w:shd w:val="clear" w:color="auto" w:fill="FFC000"/>
            <w:noWrap/>
            <w:tcMar>
              <w:top w:w="0" w:type="dxa"/>
              <w:left w:w="70" w:type="dxa"/>
              <w:bottom w:w="0" w:type="dxa"/>
              <w:right w:w="70" w:type="dxa"/>
            </w:tcMar>
            <w:vAlign w:val="bottom"/>
            <w:hideMark/>
          </w:tcPr>
          <w:p w14:paraId="569F1D9C" w14:textId="77777777" w:rsidR="00F47C36" w:rsidRPr="00F47C36" w:rsidRDefault="00F47C36" w:rsidP="00573680">
            <w:pPr>
              <w:autoSpaceDN w:val="0"/>
              <w:jc w:val="center"/>
              <w:rPr>
                <w:rFonts w:eastAsia="Calibri"/>
                <w:b/>
                <w:bCs/>
                <w:color w:val="000000"/>
              </w:rPr>
            </w:pPr>
            <w:r w:rsidRPr="00F47C36">
              <w:rPr>
                <w:rFonts w:eastAsia="Calibri"/>
                <w:b/>
                <w:bCs/>
                <w:color w:val="000000"/>
              </w:rPr>
              <w:t>Categorie C</w:t>
            </w:r>
          </w:p>
          <w:p w14:paraId="569F1D9D" w14:textId="77777777" w:rsidR="00F47C36" w:rsidRPr="00F47C36" w:rsidRDefault="00F47C36" w:rsidP="00573680">
            <w:pPr>
              <w:autoSpaceDN w:val="0"/>
              <w:jc w:val="center"/>
              <w:rPr>
                <w:rFonts w:eastAsia="Calibri"/>
                <w:b/>
                <w:bCs/>
                <w:color w:val="000000"/>
              </w:rPr>
            </w:pPr>
            <w:r w:rsidRPr="00F47C36">
              <w:rPr>
                <w:rFonts w:eastAsia="Calibri"/>
                <w:b/>
                <w:bCs/>
                <w:color w:val="000000"/>
              </w:rPr>
              <w:t>Meest risicovol</w:t>
            </w:r>
          </w:p>
        </w:tc>
      </w:tr>
      <w:tr w:rsidR="00F47C36" w:rsidRPr="00F47C36" w14:paraId="569F1DA5" w14:textId="77777777" w:rsidTr="00F47C36">
        <w:trPr>
          <w:trHeight w:val="518"/>
        </w:trPr>
        <w:tc>
          <w:tcPr>
            <w:tcW w:w="318" w:type="dxa"/>
            <w:vMerge w:val="restart"/>
            <w:tcBorders>
              <w:top w:val="nil"/>
              <w:left w:val="single" w:sz="8" w:space="0" w:color="auto"/>
              <w:bottom w:val="single" w:sz="8" w:space="0" w:color="000000"/>
              <w:right w:val="nil"/>
            </w:tcBorders>
            <w:noWrap/>
            <w:tcMar>
              <w:top w:w="0" w:type="dxa"/>
              <w:left w:w="70" w:type="dxa"/>
              <w:bottom w:w="0" w:type="dxa"/>
              <w:right w:w="70" w:type="dxa"/>
            </w:tcMar>
            <w:vAlign w:val="center"/>
            <w:hideMark/>
          </w:tcPr>
          <w:p w14:paraId="569F1D9F" w14:textId="77777777" w:rsidR="00F47C36" w:rsidRPr="00F47C36" w:rsidRDefault="00F47C36" w:rsidP="00573680">
            <w:pPr>
              <w:autoSpaceDN w:val="0"/>
              <w:rPr>
                <w:rFonts w:eastAsia="Calibri"/>
                <w:color w:val="000000"/>
              </w:rPr>
            </w:pPr>
            <w:r w:rsidRPr="00F47C36">
              <w:rPr>
                <w:rFonts w:eastAsia="Calibri"/>
                <w:color w:val="000000"/>
              </w:rPr>
              <w:t>1.</w:t>
            </w:r>
          </w:p>
        </w:tc>
        <w:tc>
          <w:tcPr>
            <w:tcW w:w="1519" w:type="dxa"/>
            <w:vMerge w:val="restart"/>
            <w:tcBorders>
              <w:top w:val="nil"/>
              <w:left w:val="nil"/>
              <w:bottom w:val="single" w:sz="8" w:space="0" w:color="000000"/>
              <w:right w:val="nil"/>
            </w:tcBorders>
            <w:noWrap/>
            <w:tcMar>
              <w:top w:w="0" w:type="dxa"/>
              <w:left w:w="70" w:type="dxa"/>
              <w:bottom w:w="0" w:type="dxa"/>
              <w:right w:w="70" w:type="dxa"/>
            </w:tcMar>
            <w:vAlign w:val="center"/>
            <w:hideMark/>
          </w:tcPr>
          <w:p w14:paraId="569F1DA0" w14:textId="77777777" w:rsidR="00F47C36" w:rsidRPr="00F47C36" w:rsidRDefault="00F47C36" w:rsidP="00573680">
            <w:pPr>
              <w:autoSpaceDN w:val="0"/>
              <w:rPr>
                <w:rFonts w:eastAsia="Calibri"/>
                <w:color w:val="000000"/>
              </w:rPr>
            </w:pPr>
            <w:r w:rsidRPr="00F47C36">
              <w:rPr>
                <w:rFonts w:eastAsia="Calibri"/>
                <w:color w:val="000000"/>
              </w:rPr>
              <w:t>Netto schuldquote</w:t>
            </w:r>
          </w:p>
        </w:tc>
        <w:tc>
          <w:tcPr>
            <w:tcW w:w="186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69F1DA1" w14:textId="77777777" w:rsidR="00F47C36" w:rsidRPr="00F47C36" w:rsidRDefault="00F47C36" w:rsidP="00573680">
            <w:pPr>
              <w:autoSpaceDN w:val="0"/>
              <w:rPr>
                <w:rFonts w:eastAsia="Calibri"/>
                <w:color w:val="000000"/>
              </w:rPr>
            </w:pPr>
            <w:r w:rsidRPr="00F47C36">
              <w:rPr>
                <w:rFonts w:eastAsia="Calibri"/>
                <w:color w:val="000000"/>
              </w:rPr>
              <w:t>a. zonder correctie doorgeleende gelden</w:t>
            </w:r>
          </w:p>
        </w:tc>
        <w:tc>
          <w:tcPr>
            <w:tcW w:w="1701"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569F1DA2" w14:textId="77777777" w:rsidR="00F47C36" w:rsidRPr="00F47C36" w:rsidRDefault="00F47C36" w:rsidP="00573680">
            <w:pPr>
              <w:autoSpaceDN w:val="0"/>
              <w:jc w:val="right"/>
              <w:rPr>
                <w:rFonts w:eastAsia="Calibri"/>
                <w:color w:val="000000"/>
              </w:rPr>
            </w:pPr>
            <w:r w:rsidRPr="00F47C36">
              <w:rPr>
                <w:rFonts w:eastAsia="Calibri"/>
                <w:color w:val="000000"/>
              </w:rPr>
              <w:t>&lt;90%</w:t>
            </w:r>
          </w:p>
        </w:tc>
        <w:tc>
          <w:tcPr>
            <w:tcW w:w="1701"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69F1DA3" w14:textId="77777777" w:rsidR="00F47C36" w:rsidRPr="00F47C36" w:rsidRDefault="00F47C36" w:rsidP="00573680">
            <w:pPr>
              <w:autoSpaceDN w:val="0"/>
              <w:jc w:val="right"/>
              <w:rPr>
                <w:rFonts w:eastAsia="Calibri"/>
                <w:color w:val="000000"/>
              </w:rPr>
            </w:pPr>
            <w:r w:rsidRPr="00F47C36">
              <w:rPr>
                <w:rFonts w:eastAsia="Calibri"/>
                <w:color w:val="000000"/>
              </w:rPr>
              <w:t>90-130%</w:t>
            </w:r>
          </w:p>
        </w:tc>
        <w:tc>
          <w:tcPr>
            <w:tcW w:w="1691" w:type="dxa"/>
            <w:tcBorders>
              <w:top w:val="nil"/>
              <w:left w:val="nil"/>
              <w:bottom w:val="single" w:sz="8" w:space="0" w:color="auto"/>
              <w:right w:val="single" w:sz="8" w:space="0" w:color="auto"/>
            </w:tcBorders>
            <w:shd w:val="clear" w:color="auto" w:fill="FFC000"/>
            <w:noWrap/>
            <w:tcMar>
              <w:top w:w="0" w:type="dxa"/>
              <w:left w:w="70" w:type="dxa"/>
              <w:bottom w:w="0" w:type="dxa"/>
              <w:right w:w="70" w:type="dxa"/>
            </w:tcMar>
            <w:vAlign w:val="bottom"/>
            <w:hideMark/>
          </w:tcPr>
          <w:p w14:paraId="569F1DA4" w14:textId="77777777" w:rsidR="00F47C36" w:rsidRPr="00F47C36" w:rsidRDefault="00F47C36" w:rsidP="00573680">
            <w:pPr>
              <w:autoSpaceDN w:val="0"/>
              <w:jc w:val="right"/>
              <w:rPr>
                <w:rFonts w:eastAsia="Calibri"/>
                <w:color w:val="000000"/>
              </w:rPr>
            </w:pPr>
            <w:r w:rsidRPr="00F47C36">
              <w:rPr>
                <w:rFonts w:eastAsia="Calibri"/>
                <w:color w:val="000000"/>
              </w:rPr>
              <w:t>&gt;130%</w:t>
            </w:r>
          </w:p>
        </w:tc>
      </w:tr>
      <w:tr w:rsidR="00F47C36" w:rsidRPr="00F47C36" w14:paraId="569F1DAC" w14:textId="77777777" w:rsidTr="00F47C36">
        <w:trPr>
          <w:trHeight w:val="401"/>
        </w:trPr>
        <w:tc>
          <w:tcPr>
            <w:tcW w:w="0" w:type="auto"/>
            <w:vMerge/>
            <w:tcBorders>
              <w:top w:val="nil"/>
              <w:left w:val="single" w:sz="8" w:space="0" w:color="auto"/>
              <w:bottom w:val="single" w:sz="8" w:space="0" w:color="000000"/>
              <w:right w:val="nil"/>
            </w:tcBorders>
            <w:vAlign w:val="center"/>
            <w:hideMark/>
          </w:tcPr>
          <w:p w14:paraId="569F1DA6" w14:textId="77777777" w:rsidR="00F47C36" w:rsidRPr="00F47C36" w:rsidRDefault="00F47C36" w:rsidP="00573680">
            <w:pPr>
              <w:rPr>
                <w:rFonts w:eastAsia="Calibri"/>
                <w:color w:val="000000"/>
              </w:rPr>
            </w:pPr>
          </w:p>
        </w:tc>
        <w:tc>
          <w:tcPr>
            <w:tcW w:w="0" w:type="auto"/>
            <w:vMerge/>
            <w:tcBorders>
              <w:top w:val="nil"/>
              <w:left w:val="nil"/>
              <w:bottom w:val="single" w:sz="8" w:space="0" w:color="000000"/>
              <w:right w:val="nil"/>
            </w:tcBorders>
            <w:vAlign w:val="center"/>
            <w:hideMark/>
          </w:tcPr>
          <w:p w14:paraId="569F1DA7" w14:textId="77777777" w:rsidR="00F47C36" w:rsidRPr="00F47C36" w:rsidRDefault="00F47C36" w:rsidP="00573680">
            <w:pPr>
              <w:rPr>
                <w:rFonts w:eastAsia="Calibri"/>
                <w:color w:val="000000"/>
              </w:rPr>
            </w:pPr>
          </w:p>
        </w:tc>
        <w:tc>
          <w:tcPr>
            <w:tcW w:w="186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69F1DA8" w14:textId="77777777" w:rsidR="00F47C36" w:rsidRPr="00F47C36" w:rsidRDefault="00F47C36" w:rsidP="00573680">
            <w:pPr>
              <w:autoSpaceDN w:val="0"/>
              <w:rPr>
                <w:rFonts w:eastAsia="Calibri"/>
                <w:color w:val="000000"/>
              </w:rPr>
            </w:pPr>
            <w:r w:rsidRPr="00F47C36">
              <w:rPr>
                <w:rFonts w:eastAsia="Calibri"/>
                <w:color w:val="000000"/>
              </w:rPr>
              <w:t>b. met correctie doorgeleende gelden</w:t>
            </w:r>
          </w:p>
        </w:tc>
        <w:tc>
          <w:tcPr>
            <w:tcW w:w="1701"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569F1DA9" w14:textId="77777777" w:rsidR="00F47C36" w:rsidRPr="00F47C36" w:rsidRDefault="00F47C36" w:rsidP="00573680">
            <w:pPr>
              <w:autoSpaceDN w:val="0"/>
              <w:jc w:val="right"/>
              <w:rPr>
                <w:rFonts w:eastAsia="Calibri"/>
                <w:color w:val="000000"/>
              </w:rPr>
            </w:pPr>
            <w:r w:rsidRPr="00F47C36">
              <w:rPr>
                <w:rFonts w:eastAsia="Calibri"/>
                <w:color w:val="000000"/>
              </w:rPr>
              <w:t>&lt;90%</w:t>
            </w:r>
          </w:p>
        </w:tc>
        <w:tc>
          <w:tcPr>
            <w:tcW w:w="1701"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69F1DAA" w14:textId="77777777" w:rsidR="00F47C36" w:rsidRPr="00F47C36" w:rsidRDefault="00F47C36" w:rsidP="00573680">
            <w:pPr>
              <w:autoSpaceDN w:val="0"/>
              <w:jc w:val="right"/>
              <w:rPr>
                <w:rFonts w:eastAsia="Calibri"/>
                <w:color w:val="000000"/>
              </w:rPr>
            </w:pPr>
            <w:r w:rsidRPr="00F47C36">
              <w:rPr>
                <w:rFonts w:eastAsia="Calibri"/>
                <w:color w:val="000000"/>
              </w:rPr>
              <w:t>90-130%</w:t>
            </w:r>
          </w:p>
        </w:tc>
        <w:tc>
          <w:tcPr>
            <w:tcW w:w="1691" w:type="dxa"/>
            <w:tcBorders>
              <w:top w:val="nil"/>
              <w:left w:val="nil"/>
              <w:bottom w:val="single" w:sz="8" w:space="0" w:color="auto"/>
              <w:right w:val="single" w:sz="8" w:space="0" w:color="auto"/>
            </w:tcBorders>
            <w:shd w:val="clear" w:color="auto" w:fill="FFC000"/>
            <w:noWrap/>
            <w:tcMar>
              <w:top w:w="0" w:type="dxa"/>
              <w:left w:w="70" w:type="dxa"/>
              <w:bottom w:w="0" w:type="dxa"/>
              <w:right w:w="70" w:type="dxa"/>
            </w:tcMar>
            <w:vAlign w:val="bottom"/>
            <w:hideMark/>
          </w:tcPr>
          <w:p w14:paraId="569F1DAB" w14:textId="77777777" w:rsidR="00F47C36" w:rsidRPr="00F47C36" w:rsidRDefault="00F47C36" w:rsidP="00573680">
            <w:pPr>
              <w:autoSpaceDN w:val="0"/>
              <w:jc w:val="right"/>
              <w:rPr>
                <w:rFonts w:eastAsia="Calibri"/>
                <w:color w:val="000000"/>
              </w:rPr>
            </w:pPr>
            <w:r w:rsidRPr="00F47C36">
              <w:rPr>
                <w:rFonts w:eastAsia="Calibri"/>
                <w:color w:val="000000"/>
              </w:rPr>
              <w:t>&gt;130%</w:t>
            </w:r>
          </w:p>
        </w:tc>
      </w:tr>
      <w:tr w:rsidR="00F47C36" w:rsidRPr="00F47C36" w14:paraId="569F1DB3" w14:textId="77777777" w:rsidTr="00F47C36">
        <w:trPr>
          <w:trHeight w:val="194"/>
        </w:trPr>
        <w:tc>
          <w:tcPr>
            <w:tcW w:w="318"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69F1DAD" w14:textId="77777777" w:rsidR="00F47C36" w:rsidRPr="00F47C36" w:rsidRDefault="00F47C36" w:rsidP="00573680">
            <w:pPr>
              <w:autoSpaceDN w:val="0"/>
              <w:rPr>
                <w:rFonts w:eastAsia="Calibri"/>
                <w:color w:val="000000"/>
              </w:rPr>
            </w:pPr>
            <w:r w:rsidRPr="00F47C36">
              <w:rPr>
                <w:rFonts w:eastAsia="Calibri"/>
                <w:color w:val="000000"/>
              </w:rPr>
              <w:t>2.</w:t>
            </w:r>
          </w:p>
        </w:tc>
        <w:tc>
          <w:tcPr>
            <w:tcW w:w="1519" w:type="dxa"/>
            <w:tcBorders>
              <w:top w:val="nil"/>
              <w:left w:val="nil"/>
              <w:bottom w:val="single" w:sz="8" w:space="0" w:color="auto"/>
              <w:right w:val="nil"/>
            </w:tcBorders>
            <w:noWrap/>
            <w:tcMar>
              <w:top w:w="0" w:type="dxa"/>
              <w:left w:w="70" w:type="dxa"/>
              <w:bottom w:w="0" w:type="dxa"/>
              <w:right w:w="70" w:type="dxa"/>
            </w:tcMar>
            <w:vAlign w:val="bottom"/>
            <w:hideMark/>
          </w:tcPr>
          <w:p w14:paraId="569F1DAE" w14:textId="77777777" w:rsidR="00F47C36" w:rsidRPr="00F47C36" w:rsidRDefault="00F47C36" w:rsidP="00573680">
            <w:pPr>
              <w:autoSpaceDN w:val="0"/>
              <w:rPr>
                <w:rFonts w:eastAsia="Calibri"/>
                <w:color w:val="000000"/>
              </w:rPr>
            </w:pPr>
            <w:r w:rsidRPr="00F47C36">
              <w:rPr>
                <w:rFonts w:eastAsia="Calibri"/>
                <w:color w:val="000000"/>
              </w:rPr>
              <w:t>Solvabiliteitsratio</w:t>
            </w:r>
          </w:p>
        </w:tc>
        <w:tc>
          <w:tcPr>
            <w:tcW w:w="1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9F1DAF" w14:textId="77777777" w:rsidR="00F47C36" w:rsidRPr="00F47C36" w:rsidRDefault="00F47C36" w:rsidP="00573680">
            <w:pPr>
              <w:autoSpaceDN w:val="0"/>
              <w:rPr>
                <w:rFonts w:eastAsia="Calibri"/>
                <w:color w:val="000000"/>
              </w:rPr>
            </w:pPr>
            <w:r w:rsidRPr="00F47C36">
              <w:rPr>
                <w:rFonts w:eastAsia="Calibri"/>
                <w:color w:val="000000"/>
              </w:rPr>
              <w:t> </w:t>
            </w:r>
          </w:p>
        </w:tc>
        <w:tc>
          <w:tcPr>
            <w:tcW w:w="1701"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569F1DB0" w14:textId="77777777" w:rsidR="00F47C36" w:rsidRPr="00F47C36" w:rsidRDefault="00F47C36" w:rsidP="00573680">
            <w:pPr>
              <w:autoSpaceDN w:val="0"/>
              <w:jc w:val="right"/>
              <w:rPr>
                <w:rFonts w:eastAsia="Calibri"/>
                <w:color w:val="000000"/>
              </w:rPr>
            </w:pPr>
            <w:r w:rsidRPr="00F47C36">
              <w:rPr>
                <w:rFonts w:eastAsia="Calibri"/>
                <w:color w:val="000000"/>
              </w:rPr>
              <w:t>&gt;50%</w:t>
            </w:r>
          </w:p>
        </w:tc>
        <w:tc>
          <w:tcPr>
            <w:tcW w:w="1701"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69F1DB1" w14:textId="77777777" w:rsidR="00F47C36" w:rsidRPr="00F47C36" w:rsidRDefault="00F47C36" w:rsidP="00573680">
            <w:pPr>
              <w:autoSpaceDN w:val="0"/>
              <w:jc w:val="right"/>
              <w:rPr>
                <w:rFonts w:eastAsia="Calibri"/>
                <w:color w:val="000000"/>
              </w:rPr>
            </w:pPr>
            <w:r w:rsidRPr="00F47C36">
              <w:rPr>
                <w:rFonts w:eastAsia="Calibri"/>
                <w:color w:val="000000"/>
              </w:rPr>
              <w:t>20-50%</w:t>
            </w:r>
          </w:p>
        </w:tc>
        <w:tc>
          <w:tcPr>
            <w:tcW w:w="1691" w:type="dxa"/>
            <w:tcBorders>
              <w:top w:val="nil"/>
              <w:left w:val="nil"/>
              <w:bottom w:val="single" w:sz="8" w:space="0" w:color="auto"/>
              <w:right w:val="single" w:sz="8" w:space="0" w:color="auto"/>
            </w:tcBorders>
            <w:shd w:val="clear" w:color="auto" w:fill="FFC000"/>
            <w:noWrap/>
            <w:tcMar>
              <w:top w:w="0" w:type="dxa"/>
              <w:left w:w="70" w:type="dxa"/>
              <w:bottom w:w="0" w:type="dxa"/>
              <w:right w:w="70" w:type="dxa"/>
            </w:tcMar>
            <w:vAlign w:val="bottom"/>
            <w:hideMark/>
          </w:tcPr>
          <w:p w14:paraId="569F1DB2" w14:textId="77777777" w:rsidR="00F47C36" w:rsidRPr="00F47C36" w:rsidRDefault="00F47C36" w:rsidP="00573680">
            <w:pPr>
              <w:autoSpaceDN w:val="0"/>
              <w:jc w:val="right"/>
              <w:rPr>
                <w:rFonts w:eastAsia="Calibri"/>
                <w:color w:val="000000"/>
              </w:rPr>
            </w:pPr>
            <w:r w:rsidRPr="00F47C36">
              <w:rPr>
                <w:rFonts w:eastAsia="Calibri"/>
                <w:color w:val="000000"/>
              </w:rPr>
              <w:t>&lt;20%</w:t>
            </w:r>
          </w:p>
        </w:tc>
      </w:tr>
      <w:tr w:rsidR="00F47C36" w:rsidRPr="00F47C36" w14:paraId="569F1DB9" w14:textId="77777777" w:rsidTr="00F47C36">
        <w:trPr>
          <w:trHeight w:val="194"/>
        </w:trPr>
        <w:tc>
          <w:tcPr>
            <w:tcW w:w="318"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69F1DB4" w14:textId="77777777" w:rsidR="00F47C36" w:rsidRPr="00F47C36" w:rsidRDefault="00F47C36" w:rsidP="00573680">
            <w:pPr>
              <w:autoSpaceDN w:val="0"/>
              <w:rPr>
                <w:rFonts w:eastAsia="Calibri"/>
                <w:color w:val="000000"/>
              </w:rPr>
            </w:pPr>
            <w:r w:rsidRPr="00F47C36">
              <w:rPr>
                <w:rFonts w:eastAsia="Calibri"/>
                <w:color w:val="000000"/>
              </w:rPr>
              <w:t>3.</w:t>
            </w:r>
          </w:p>
        </w:tc>
        <w:tc>
          <w:tcPr>
            <w:tcW w:w="3383" w:type="dxa"/>
            <w:gridSpan w:val="2"/>
            <w:tcBorders>
              <w:top w:val="nil"/>
              <w:left w:val="nil"/>
              <w:bottom w:val="single" w:sz="8" w:space="0" w:color="auto"/>
              <w:right w:val="single" w:sz="8" w:space="0" w:color="000000"/>
            </w:tcBorders>
            <w:noWrap/>
            <w:tcMar>
              <w:top w:w="0" w:type="dxa"/>
              <w:left w:w="70" w:type="dxa"/>
              <w:bottom w:w="0" w:type="dxa"/>
              <w:right w:w="70" w:type="dxa"/>
            </w:tcMar>
            <w:vAlign w:val="bottom"/>
            <w:hideMark/>
          </w:tcPr>
          <w:p w14:paraId="569F1DB5" w14:textId="77777777" w:rsidR="00F47C36" w:rsidRPr="00F47C36" w:rsidRDefault="00F47C36" w:rsidP="00573680">
            <w:pPr>
              <w:autoSpaceDN w:val="0"/>
              <w:rPr>
                <w:rFonts w:eastAsia="Calibri"/>
                <w:color w:val="000000"/>
              </w:rPr>
            </w:pPr>
            <w:r w:rsidRPr="00F47C36">
              <w:rPr>
                <w:rFonts w:eastAsia="Calibri"/>
                <w:color w:val="000000"/>
              </w:rPr>
              <w:t>Grondexploitatie</w:t>
            </w:r>
          </w:p>
        </w:tc>
        <w:tc>
          <w:tcPr>
            <w:tcW w:w="1701"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569F1DB6" w14:textId="77777777" w:rsidR="00F47C36" w:rsidRPr="00F47C36" w:rsidRDefault="00F47C36" w:rsidP="00573680">
            <w:pPr>
              <w:autoSpaceDN w:val="0"/>
              <w:jc w:val="right"/>
              <w:rPr>
                <w:rFonts w:eastAsia="Calibri"/>
                <w:color w:val="000000"/>
              </w:rPr>
            </w:pPr>
            <w:r w:rsidRPr="00F47C36">
              <w:rPr>
                <w:rFonts w:eastAsia="Calibri"/>
                <w:color w:val="000000"/>
              </w:rPr>
              <w:t>&lt;20%</w:t>
            </w:r>
          </w:p>
        </w:tc>
        <w:tc>
          <w:tcPr>
            <w:tcW w:w="1701"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69F1DB7" w14:textId="77777777" w:rsidR="00F47C36" w:rsidRPr="00F47C36" w:rsidRDefault="00F47C36" w:rsidP="00573680">
            <w:pPr>
              <w:autoSpaceDN w:val="0"/>
              <w:jc w:val="right"/>
              <w:rPr>
                <w:rFonts w:eastAsia="Calibri"/>
                <w:color w:val="000000"/>
              </w:rPr>
            </w:pPr>
            <w:r w:rsidRPr="00F47C36">
              <w:rPr>
                <w:rFonts w:eastAsia="Calibri"/>
                <w:color w:val="000000"/>
              </w:rPr>
              <w:t>20-35%</w:t>
            </w:r>
          </w:p>
        </w:tc>
        <w:tc>
          <w:tcPr>
            <w:tcW w:w="1691" w:type="dxa"/>
            <w:tcBorders>
              <w:top w:val="nil"/>
              <w:left w:val="nil"/>
              <w:bottom w:val="single" w:sz="8" w:space="0" w:color="auto"/>
              <w:right w:val="single" w:sz="8" w:space="0" w:color="auto"/>
            </w:tcBorders>
            <w:shd w:val="clear" w:color="auto" w:fill="FFC000"/>
            <w:noWrap/>
            <w:tcMar>
              <w:top w:w="0" w:type="dxa"/>
              <w:left w:w="70" w:type="dxa"/>
              <w:bottom w:w="0" w:type="dxa"/>
              <w:right w:w="70" w:type="dxa"/>
            </w:tcMar>
            <w:vAlign w:val="bottom"/>
            <w:hideMark/>
          </w:tcPr>
          <w:p w14:paraId="569F1DB8" w14:textId="77777777" w:rsidR="00F47C36" w:rsidRPr="00F47C36" w:rsidRDefault="00F47C36" w:rsidP="00573680">
            <w:pPr>
              <w:autoSpaceDN w:val="0"/>
              <w:jc w:val="right"/>
              <w:rPr>
                <w:rFonts w:eastAsia="Calibri"/>
                <w:color w:val="000000"/>
              </w:rPr>
            </w:pPr>
            <w:r w:rsidRPr="00F47C36">
              <w:rPr>
                <w:rFonts w:eastAsia="Calibri"/>
                <w:color w:val="000000"/>
              </w:rPr>
              <w:t>&gt;35%</w:t>
            </w:r>
          </w:p>
        </w:tc>
      </w:tr>
      <w:tr w:rsidR="00F47C36" w:rsidRPr="00F47C36" w14:paraId="569F1DBF" w14:textId="77777777" w:rsidTr="00F47C36">
        <w:trPr>
          <w:trHeight w:val="194"/>
        </w:trPr>
        <w:tc>
          <w:tcPr>
            <w:tcW w:w="318"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69F1DBA" w14:textId="77777777" w:rsidR="00F47C36" w:rsidRPr="00F47C36" w:rsidRDefault="00F47C36" w:rsidP="00573680">
            <w:pPr>
              <w:autoSpaceDN w:val="0"/>
              <w:rPr>
                <w:rFonts w:eastAsia="Calibri"/>
                <w:color w:val="000000"/>
              </w:rPr>
            </w:pPr>
            <w:r w:rsidRPr="00F47C36">
              <w:rPr>
                <w:rFonts w:eastAsia="Calibri"/>
                <w:color w:val="000000"/>
              </w:rPr>
              <w:t>4.</w:t>
            </w:r>
          </w:p>
        </w:tc>
        <w:tc>
          <w:tcPr>
            <w:tcW w:w="3383" w:type="dxa"/>
            <w:gridSpan w:val="2"/>
            <w:tcBorders>
              <w:top w:val="nil"/>
              <w:left w:val="nil"/>
              <w:bottom w:val="single" w:sz="8" w:space="0" w:color="auto"/>
              <w:right w:val="single" w:sz="8" w:space="0" w:color="000000"/>
            </w:tcBorders>
            <w:noWrap/>
            <w:tcMar>
              <w:top w:w="0" w:type="dxa"/>
              <w:left w:w="70" w:type="dxa"/>
              <w:bottom w:w="0" w:type="dxa"/>
              <w:right w:w="70" w:type="dxa"/>
            </w:tcMar>
            <w:vAlign w:val="bottom"/>
            <w:hideMark/>
          </w:tcPr>
          <w:p w14:paraId="569F1DBB" w14:textId="77777777" w:rsidR="00F47C36" w:rsidRPr="00F47C36" w:rsidRDefault="00F47C36" w:rsidP="00573680">
            <w:pPr>
              <w:autoSpaceDN w:val="0"/>
              <w:rPr>
                <w:rFonts w:eastAsia="Calibri"/>
                <w:color w:val="000000"/>
              </w:rPr>
            </w:pPr>
            <w:r w:rsidRPr="00F47C36">
              <w:rPr>
                <w:rFonts w:eastAsia="Calibri"/>
                <w:color w:val="000000"/>
              </w:rPr>
              <w:t>Structurele exploitatieruimte</w:t>
            </w:r>
          </w:p>
        </w:tc>
        <w:tc>
          <w:tcPr>
            <w:tcW w:w="1701"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569F1DBC" w14:textId="77777777" w:rsidR="00F47C36" w:rsidRPr="00F47C36" w:rsidRDefault="00F47C36" w:rsidP="00573680">
            <w:pPr>
              <w:autoSpaceDN w:val="0"/>
              <w:jc w:val="right"/>
              <w:rPr>
                <w:rFonts w:eastAsia="Calibri"/>
                <w:color w:val="000000"/>
              </w:rPr>
            </w:pPr>
            <w:proofErr w:type="spellStart"/>
            <w:r w:rsidRPr="00F47C36">
              <w:rPr>
                <w:rFonts w:eastAsia="Calibri"/>
                <w:color w:val="000000"/>
              </w:rPr>
              <w:t>Begr</w:t>
            </w:r>
            <w:proofErr w:type="spellEnd"/>
            <w:r w:rsidRPr="00F47C36">
              <w:rPr>
                <w:rFonts w:eastAsia="Calibri"/>
                <w:color w:val="000000"/>
              </w:rPr>
              <w:t xml:space="preserve"> &gt;0%</w:t>
            </w:r>
          </w:p>
        </w:tc>
        <w:tc>
          <w:tcPr>
            <w:tcW w:w="1701"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69F1DBD" w14:textId="77777777" w:rsidR="00F47C36" w:rsidRPr="00F47C36" w:rsidRDefault="00F47C36" w:rsidP="00573680">
            <w:pPr>
              <w:autoSpaceDN w:val="0"/>
              <w:jc w:val="right"/>
              <w:rPr>
                <w:rFonts w:eastAsia="Calibri"/>
                <w:color w:val="000000"/>
              </w:rPr>
            </w:pPr>
            <w:proofErr w:type="spellStart"/>
            <w:r w:rsidRPr="00F47C36">
              <w:rPr>
                <w:rFonts w:eastAsia="Calibri"/>
                <w:color w:val="000000"/>
              </w:rPr>
              <w:t>Begr</w:t>
            </w:r>
            <w:proofErr w:type="spellEnd"/>
            <w:r w:rsidRPr="00F47C36">
              <w:rPr>
                <w:rFonts w:eastAsia="Calibri"/>
                <w:color w:val="000000"/>
              </w:rPr>
              <w:t xml:space="preserve"> = 0%</w:t>
            </w:r>
          </w:p>
        </w:tc>
        <w:tc>
          <w:tcPr>
            <w:tcW w:w="1691" w:type="dxa"/>
            <w:tcBorders>
              <w:top w:val="nil"/>
              <w:left w:val="nil"/>
              <w:bottom w:val="single" w:sz="8" w:space="0" w:color="auto"/>
              <w:right w:val="single" w:sz="8" w:space="0" w:color="auto"/>
            </w:tcBorders>
            <w:shd w:val="clear" w:color="auto" w:fill="FFC000"/>
            <w:noWrap/>
            <w:tcMar>
              <w:top w:w="0" w:type="dxa"/>
              <w:left w:w="70" w:type="dxa"/>
              <w:bottom w:w="0" w:type="dxa"/>
              <w:right w:w="70" w:type="dxa"/>
            </w:tcMar>
            <w:vAlign w:val="bottom"/>
            <w:hideMark/>
          </w:tcPr>
          <w:p w14:paraId="569F1DBE" w14:textId="77777777" w:rsidR="00F47C36" w:rsidRPr="00F47C36" w:rsidRDefault="00F47C36" w:rsidP="00573680">
            <w:pPr>
              <w:autoSpaceDN w:val="0"/>
              <w:jc w:val="right"/>
              <w:rPr>
                <w:rFonts w:eastAsia="Calibri"/>
                <w:color w:val="000000"/>
              </w:rPr>
            </w:pPr>
            <w:proofErr w:type="spellStart"/>
            <w:r w:rsidRPr="00F47C36">
              <w:rPr>
                <w:rFonts w:eastAsia="Calibri"/>
                <w:color w:val="000000"/>
              </w:rPr>
              <w:t>Begr</w:t>
            </w:r>
            <w:proofErr w:type="spellEnd"/>
            <w:r w:rsidRPr="00F47C36">
              <w:rPr>
                <w:rFonts w:eastAsia="Calibri"/>
                <w:color w:val="000000"/>
              </w:rPr>
              <w:t xml:space="preserve"> &lt;0%</w:t>
            </w:r>
          </w:p>
        </w:tc>
      </w:tr>
      <w:tr w:rsidR="00F47C36" w:rsidRPr="00F47C36" w14:paraId="569F1DC6" w14:textId="77777777" w:rsidTr="00F47C36">
        <w:trPr>
          <w:trHeight w:val="204"/>
        </w:trPr>
        <w:tc>
          <w:tcPr>
            <w:tcW w:w="318"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69F1DC0" w14:textId="77777777" w:rsidR="00F47C36" w:rsidRPr="00F47C36" w:rsidRDefault="00F47C36" w:rsidP="00573680">
            <w:pPr>
              <w:autoSpaceDN w:val="0"/>
              <w:rPr>
                <w:rFonts w:eastAsia="Calibri"/>
                <w:color w:val="000000"/>
              </w:rPr>
            </w:pPr>
            <w:r w:rsidRPr="00F47C36">
              <w:rPr>
                <w:rFonts w:eastAsia="Calibri"/>
                <w:color w:val="000000"/>
              </w:rPr>
              <w:t>5.</w:t>
            </w:r>
          </w:p>
        </w:tc>
        <w:tc>
          <w:tcPr>
            <w:tcW w:w="1519" w:type="dxa"/>
            <w:tcBorders>
              <w:top w:val="nil"/>
              <w:left w:val="nil"/>
              <w:bottom w:val="single" w:sz="8" w:space="0" w:color="auto"/>
              <w:right w:val="nil"/>
            </w:tcBorders>
            <w:noWrap/>
            <w:tcMar>
              <w:top w:w="0" w:type="dxa"/>
              <w:left w:w="70" w:type="dxa"/>
              <w:bottom w:w="0" w:type="dxa"/>
              <w:right w:w="70" w:type="dxa"/>
            </w:tcMar>
            <w:vAlign w:val="bottom"/>
            <w:hideMark/>
          </w:tcPr>
          <w:p w14:paraId="569F1DC1" w14:textId="77777777" w:rsidR="00F47C36" w:rsidRPr="00F47C36" w:rsidRDefault="00F47C36" w:rsidP="00573680">
            <w:pPr>
              <w:autoSpaceDN w:val="0"/>
              <w:rPr>
                <w:rFonts w:eastAsia="Calibri"/>
                <w:color w:val="000000"/>
              </w:rPr>
            </w:pPr>
            <w:r w:rsidRPr="00F47C36">
              <w:rPr>
                <w:rFonts w:eastAsia="Calibri"/>
                <w:color w:val="000000"/>
              </w:rPr>
              <w:t>Belastingcapaciteit</w:t>
            </w:r>
          </w:p>
        </w:tc>
        <w:tc>
          <w:tcPr>
            <w:tcW w:w="1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9F1DC2" w14:textId="77777777" w:rsidR="00F47C36" w:rsidRPr="00F47C36" w:rsidRDefault="00F47C36" w:rsidP="00573680">
            <w:pPr>
              <w:autoSpaceDN w:val="0"/>
              <w:rPr>
                <w:rFonts w:eastAsia="Calibri"/>
                <w:color w:val="000000"/>
              </w:rPr>
            </w:pPr>
            <w:r w:rsidRPr="00F47C36">
              <w:rPr>
                <w:rFonts w:eastAsia="Calibri"/>
                <w:color w:val="000000"/>
              </w:rPr>
              <w:t> </w:t>
            </w:r>
          </w:p>
        </w:tc>
        <w:tc>
          <w:tcPr>
            <w:tcW w:w="1701"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569F1DC3" w14:textId="77777777" w:rsidR="00F47C36" w:rsidRPr="00F47C36" w:rsidRDefault="00F47C36" w:rsidP="00573680">
            <w:pPr>
              <w:autoSpaceDN w:val="0"/>
              <w:jc w:val="right"/>
              <w:rPr>
                <w:rFonts w:eastAsia="Calibri"/>
                <w:color w:val="000000"/>
              </w:rPr>
            </w:pPr>
            <w:r w:rsidRPr="00F47C36">
              <w:rPr>
                <w:rFonts w:eastAsia="Calibri"/>
                <w:color w:val="000000"/>
              </w:rPr>
              <w:t>&lt;95%</w:t>
            </w:r>
          </w:p>
        </w:tc>
        <w:tc>
          <w:tcPr>
            <w:tcW w:w="1701"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69F1DC4" w14:textId="77777777" w:rsidR="00F47C36" w:rsidRPr="00F47C36" w:rsidRDefault="00F47C36" w:rsidP="00573680">
            <w:pPr>
              <w:autoSpaceDN w:val="0"/>
              <w:jc w:val="right"/>
              <w:rPr>
                <w:rFonts w:eastAsia="Calibri"/>
                <w:color w:val="000000"/>
              </w:rPr>
            </w:pPr>
            <w:r w:rsidRPr="00F47C36">
              <w:rPr>
                <w:rFonts w:eastAsia="Calibri"/>
                <w:color w:val="000000"/>
              </w:rPr>
              <w:t>95-105%</w:t>
            </w:r>
          </w:p>
        </w:tc>
        <w:tc>
          <w:tcPr>
            <w:tcW w:w="1691" w:type="dxa"/>
            <w:tcBorders>
              <w:top w:val="nil"/>
              <w:left w:val="nil"/>
              <w:bottom w:val="single" w:sz="8" w:space="0" w:color="auto"/>
              <w:right w:val="single" w:sz="8" w:space="0" w:color="auto"/>
            </w:tcBorders>
            <w:shd w:val="clear" w:color="auto" w:fill="FFC000"/>
            <w:noWrap/>
            <w:tcMar>
              <w:top w:w="0" w:type="dxa"/>
              <w:left w:w="70" w:type="dxa"/>
              <w:bottom w:w="0" w:type="dxa"/>
              <w:right w:w="70" w:type="dxa"/>
            </w:tcMar>
            <w:vAlign w:val="bottom"/>
            <w:hideMark/>
          </w:tcPr>
          <w:p w14:paraId="569F1DC5" w14:textId="77777777" w:rsidR="00F47C36" w:rsidRPr="00F47C36" w:rsidRDefault="00F47C36" w:rsidP="00573680">
            <w:pPr>
              <w:autoSpaceDN w:val="0"/>
              <w:jc w:val="right"/>
              <w:rPr>
                <w:rFonts w:eastAsia="Calibri"/>
                <w:color w:val="000000"/>
              </w:rPr>
            </w:pPr>
            <w:r w:rsidRPr="00F47C36">
              <w:rPr>
                <w:rFonts w:eastAsia="Calibri"/>
                <w:color w:val="000000"/>
              </w:rPr>
              <w:t>&gt;105%</w:t>
            </w:r>
          </w:p>
        </w:tc>
      </w:tr>
    </w:tbl>
    <w:p w14:paraId="569F1DC7" w14:textId="77777777" w:rsidR="00F47C36" w:rsidRPr="00F47C36" w:rsidRDefault="00F47C36" w:rsidP="00F47C36">
      <w:pPr>
        <w:pStyle w:val="Lijstalinea"/>
        <w:spacing w:line="360" w:lineRule="auto"/>
        <w:rPr>
          <w:sz w:val="22"/>
        </w:rPr>
      </w:pPr>
    </w:p>
    <w:p w14:paraId="569F1DC8" w14:textId="77777777" w:rsidR="00F47C36" w:rsidRPr="00D313EE" w:rsidRDefault="00F47C36" w:rsidP="00D313EE">
      <w:pPr>
        <w:spacing w:after="0"/>
        <w:rPr>
          <w:i/>
          <w:lang w:eastAsia="en-US"/>
        </w:rPr>
      </w:pPr>
      <w:r w:rsidRPr="00D313EE">
        <w:rPr>
          <w:i/>
          <w:lang w:eastAsia="en-US"/>
        </w:rPr>
        <w:t>Onderlinge samenhang van de kengetallen</w:t>
      </w:r>
    </w:p>
    <w:p w14:paraId="569F1DC9" w14:textId="77777777" w:rsidR="00F47C36" w:rsidRPr="00D313EE" w:rsidRDefault="00F47C36" w:rsidP="00D313EE">
      <w:pPr>
        <w:spacing w:after="0"/>
        <w:rPr>
          <w:lang w:eastAsia="en-US"/>
        </w:rPr>
        <w:sectPr w:rsidR="00F47C36" w:rsidRPr="00D313EE" w:rsidSect="00F47C36">
          <w:pgSz w:w="11906" w:h="16838"/>
          <w:pgMar w:top="1418" w:right="1418" w:bottom="1418" w:left="1418" w:header="709" w:footer="709" w:gutter="0"/>
          <w:cols w:space="708"/>
          <w:docGrid w:linePitch="360"/>
        </w:sectPr>
      </w:pPr>
      <w:r w:rsidRPr="00D313EE">
        <w:rPr>
          <w:lang w:eastAsia="en-US"/>
        </w:rPr>
        <w:t>Het is belangrijk om te benadrukken dat er geen conclusie getrokken kan word</w:t>
      </w:r>
      <w:r w:rsidR="00D313EE">
        <w:rPr>
          <w:lang w:eastAsia="en-US"/>
        </w:rPr>
        <w:t>en uit een enkel kengetal. Pas a</w:t>
      </w:r>
      <w:r w:rsidRPr="00D313EE">
        <w:rPr>
          <w:lang w:eastAsia="en-US"/>
        </w:rPr>
        <w:t>ls er meerdere kengetallen in de meest risicovolle categorie vallen kan dit wijzen op een zwakke financiële positie. Een extra verdieping achter de kengetallen kan dan duidelijkheid bieden waar de ri</w:t>
      </w:r>
      <w:r w:rsidR="004823A8">
        <w:rPr>
          <w:lang w:eastAsia="en-US"/>
        </w:rPr>
        <w:t>sico’s van de gemeente</w:t>
      </w:r>
      <w:r w:rsidRPr="00D313EE">
        <w:rPr>
          <w:lang w:eastAsia="en-US"/>
        </w:rPr>
        <w:t xml:space="preserve"> liggen</w:t>
      </w:r>
      <w:r w:rsidR="00A317A4" w:rsidRPr="00D313EE">
        <w:rPr>
          <w:lang w:eastAsia="en-US"/>
        </w:rPr>
        <w:t xml:space="preserve"> en wat voor maatregelen er eventueel getroffen moeten worden</w:t>
      </w:r>
      <w:r w:rsidRPr="00D313EE">
        <w:rPr>
          <w:lang w:eastAsia="en-US"/>
        </w:rPr>
        <w:t>.</w:t>
      </w:r>
    </w:p>
    <w:p w14:paraId="569F1DCA" w14:textId="77777777" w:rsidR="0042408F" w:rsidRPr="004823A8" w:rsidRDefault="004823A8">
      <w:pPr>
        <w:rPr>
          <w:b/>
        </w:rPr>
      </w:pPr>
      <w:r>
        <w:rPr>
          <w:b/>
        </w:rPr>
        <w:lastRenderedPageBreak/>
        <w:t>Totaaloverzicht kengetallen</w:t>
      </w:r>
    </w:p>
    <w:tbl>
      <w:tblPr>
        <w:tblW w:w="0" w:type="auto"/>
        <w:tblLayout w:type="fixed"/>
        <w:tblCellMar>
          <w:left w:w="70" w:type="dxa"/>
          <w:right w:w="70" w:type="dxa"/>
        </w:tblCellMar>
        <w:tblLook w:val="04A0" w:firstRow="1" w:lastRow="0" w:firstColumn="1" w:lastColumn="0" w:noHBand="0" w:noVBand="1"/>
      </w:tblPr>
      <w:tblGrid>
        <w:gridCol w:w="2024"/>
        <w:gridCol w:w="682"/>
        <w:gridCol w:w="682"/>
        <w:gridCol w:w="682"/>
        <w:gridCol w:w="682"/>
        <w:gridCol w:w="682"/>
        <w:gridCol w:w="682"/>
        <w:gridCol w:w="682"/>
        <w:gridCol w:w="682"/>
        <w:gridCol w:w="685"/>
        <w:gridCol w:w="682"/>
        <w:gridCol w:w="682"/>
        <w:gridCol w:w="685"/>
        <w:gridCol w:w="645"/>
        <w:gridCol w:w="645"/>
        <w:gridCol w:w="591"/>
        <w:gridCol w:w="682"/>
        <w:gridCol w:w="682"/>
        <w:gridCol w:w="685"/>
      </w:tblGrid>
      <w:tr w:rsidR="007A2E50" w:rsidRPr="00761055" w14:paraId="569F1DD3" w14:textId="77777777" w:rsidTr="002F33BC">
        <w:trPr>
          <w:trHeight w:val="1125"/>
        </w:trPr>
        <w:tc>
          <w:tcPr>
            <w:tcW w:w="20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9F1DCB" w14:textId="77777777" w:rsidR="00761055" w:rsidRPr="00761055" w:rsidRDefault="00761055" w:rsidP="0042408F">
            <w:pPr>
              <w:spacing w:line="240" w:lineRule="auto"/>
              <w:rPr>
                <w:rFonts w:eastAsia="Times New Roman" w:cstheme="minorHAnsi"/>
                <w:b/>
                <w:bCs/>
                <w:color w:val="000000"/>
                <w:sz w:val="18"/>
                <w:szCs w:val="18"/>
              </w:rPr>
            </w:pPr>
            <w:r w:rsidRPr="00761055">
              <w:rPr>
                <w:rFonts w:eastAsia="Times New Roman" w:cstheme="minorHAnsi"/>
                <w:b/>
                <w:bCs/>
                <w:color w:val="000000"/>
                <w:sz w:val="18"/>
                <w:szCs w:val="18"/>
              </w:rPr>
              <w:t>Kengetallen</w:t>
            </w:r>
          </w:p>
          <w:p w14:paraId="569F1DCC" w14:textId="77777777" w:rsidR="0042408F" w:rsidRPr="00761055" w:rsidRDefault="00761055" w:rsidP="00761055">
            <w:pPr>
              <w:spacing w:line="240" w:lineRule="auto"/>
              <w:rPr>
                <w:rFonts w:eastAsia="Times New Roman" w:cstheme="minorHAnsi"/>
                <w:b/>
                <w:bCs/>
                <w:color w:val="000000"/>
                <w:sz w:val="18"/>
                <w:szCs w:val="18"/>
              </w:rPr>
            </w:pPr>
            <w:r w:rsidRPr="00761055">
              <w:rPr>
                <w:rFonts w:eastAsia="Times New Roman" w:cstheme="minorHAnsi"/>
                <w:b/>
                <w:bCs/>
                <w:color w:val="000000"/>
                <w:sz w:val="18"/>
                <w:szCs w:val="18"/>
              </w:rPr>
              <w:t>Gemeenten</w:t>
            </w:r>
          </w:p>
        </w:tc>
        <w:tc>
          <w:tcPr>
            <w:tcW w:w="2046" w:type="dxa"/>
            <w:gridSpan w:val="3"/>
            <w:tcBorders>
              <w:top w:val="single" w:sz="4" w:space="0" w:color="auto"/>
              <w:left w:val="nil"/>
              <w:bottom w:val="single" w:sz="4" w:space="0" w:color="auto"/>
              <w:right w:val="single" w:sz="4" w:space="0" w:color="000000"/>
            </w:tcBorders>
            <w:shd w:val="clear" w:color="auto" w:fill="auto"/>
            <w:vAlign w:val="bottom"/>
            <w:hideMark/>
          </w:tcPr>
          <w:p w14:paraId="569F1DCD" w14:textId="77777777" w:rsidR="0042408F" w:rsidRPr="00761055" w:rsidRDefault="0042408F" w:rsidP="0042408F">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Netto schuldquote</w:t>
            </w:r>
          </w:p>
        </w:tc>
        <w:tc>
          <w:tcPr>
            <w:tcW w:w="2046" w:type="dxa"/>
            <w:gridSpan w:val="3"/>
            <w:tcBorders>
              <w:top w:val="single" w:sz="4" w:space="0" w:color="auto"/>
              <w:left w:val="nil"/>
              <w:bottom w:val="single" w:sz="4" w:space="0" w:color="auto"/>
              <w:right w:val="single" w:sz="4" w:space="0" w:color="000000"/>
            </w:tcBorders>
            <w:shd w:val="clear" w:color="auto" w:fill="auto"/>
            <w:vAlign w:val="bottom"/>
            <w:hideMark/>
          </w:tcPr>
          <w:p w14:paraId="569F1DCE" w14:textId="77777777" w:rsidR="0042408F" w:rsidRPr="00761055" w:rsidRDefault="0042408F" w:rsidP="0042408F">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Netto schuldquote gecorrigeerd voor doorgeleende gelden</w:t>
            </w:r>
          </w:p>
        </w:tc>
        <w:tc>
          <w:tcPr>
            <w:tcW w:w="2049" w:type="dxa"/>
            <w:gridSpan w:val="3"/>
            <w:tcBorders>
              <w:top w:val="single" w:sz="4" w:space="0" w:color="auto"/>
              <w:left w:val="nil"/>
              <w:bottom w:val="single" w:sz="4" w:space="0" w:color="auto"/>
              <w:right w:val="single" w:sz="4" w:space="0" w:color="000000"/>
            </w:tcBorders>
            <w:shd w:val="clear" w:color="auto" w:fill="auto"/>
            <w:vAlign w:val="bottom"/>
            <w:hideMark/>
          </w:tcPr>
          <w:p w14:paraId="569F1DCF" w14:textId="77777777" w:rsidR="0042408F" w:rsidRPr="00761055" w:rsidRDefault="0042408F" w:rsidP="0042408F">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Solvabiliteit</w:t>
            </w:r>
          </w:p>
        </w:tc>
        <w:tc>
          <w:tcPr>
            <w:tcW w:w="2049" w:type="dxa"/>
            <w:gridSpan w:val="3"/>
            <w:tcBorders>
              <w:top w:val="single" w:sz="4" w:space="0" w:color="auto"/>
              <w:left w:val="nil"/>
              <w:bottom w:val="single" w:sz="4" w:space="0" w:color="auto"/>
              <w:right w:val="single" w:sz="4" w:space="0" w:color="000000"/>
            </w:tcBorders>
            <w:shd w:val="clear" w:color="auto" w:fill="auto"/>
            <w:vAlign w:val="bottom"/>
            <w:hideMark/>
          </w:tcPr>
          <w:p w14:paraId="569F1DD0" w14:textId="77777777" w:rsidR="0042408F" w:rsidRPr="00761055" w:rsidRDefault="0042408F" w:rsidP="0042408F">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Grondexploitatie</w:t>
            </w:r>
          </w:p>
        </w:tc>
        <w:tc>
          <w:tcPr>
            <w:tcW w:w="1881" w:type="dxa"/>
            <w:gridSpan w:val="3"/>
            <w:tcBorders>
              <w:top w:val="single" w:sz="4" w:space="0" w:color="auto"/>
              <w:left w:val="nil"/>
              <w:bottom w:val="single" w:sz="4" w:space="0" w:color="auto"/>
              <w:right w:val="single" w:sz="4" w:space="0" w:color="000000"/>
            </w:tcBorders>
            <w:shd w:val="clear" w:color="auto" w:fill="auto"/>
            <w:vAlign w:val="bottom"/>
            <w:hideMark/>
          </w:tcPr>
          <w:p w14:paraId="569F1DD1" w14:textId="77777777" w:rsidR="0042408F" w:rsidRPr="00761055" w:rsidRDefault="0042408F" w:rsidP="0042408F">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Structurele exploitatie ruimte</w:t>
            </w:r>
          </w:p>
        </w:tc>
        <w:tc>
          <w:tcPr>
            <w:tcW w:w="2049" w:type="dxa"/>
            <w:gridSpan w:val="3"/>
            <w:tcBorders>
              <w:top w:val="single" w:sz="4" w:space="0" w:color="auto"/>
              <w:left w:val="nil"/>
              <w:bottom w:val="single" w:sz="4" w:space="0" w:color="auto"/>
              <w:right w:val="single" w:sz="4" w:space="0" w:color="000000"/>
            </w:tcBorders>
            <w:shd w:val="clear" w:color="auto" w:fill="auto"/>
            <w:vAlign w:val="bottom"/>
            <w:hideMark/>
          </w:tcPr>
          <w:p w14:paraId="569F1DD2" w14:textId="77777777" w:rsidR="0042408F" w:rsidRPr="00761055" w:rsidRDefault="0042408F" w:rsidP="0042408F">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Belastingcapaciteit</w:t>
            </w:r>
          </w:p>
        </w:tc>
      </w:tr>
      <w:tr w:rsidR="007A2E50" w:rsidRPr="00761055" w14:paraId="569F1DE7" w14:textId="77777777" w:rsidTr="002F33BC">
        <w:trPr>
          <w:trHeight w:val="402"/>
        </w:trPr>
        <w:tc>
          <w:tcPr>
            <w:tcW w:w="2024" w:type="dxa"/>
            <w:tcBorders>
              <w:top w:val="nil"/>
              <w:left w:val="nil"/>
              <w:bottom w:val="nil"/>
              <w:right w:val="nil"/>
            </w:tcBorders>
            <w:shd w:val="clear" w:color="auto" w:fill="auto"/>
            <w:noWrap/>
            <w:vAlign w:val="bottom"/>
            <w:hideMark/>
          </w:tcPr>
          <w:p w14:paraId="569F1DD4" w14:textId="77777777" w:rsidR="0042408F" w:rsidRPr="00761055" w:rsidRDefault="0042408F" w:rsidP="0042408F">
            <w:pPr>
              <w:spacing w:line="240" w:lineRule="auto"/>
              <w:rPr>
                <w:rFonts w:eastAsia="Times New Roman" w:cstheme="minorHAnsi"/>
                <w:b/>
                <w:bCs/>
                <w:color w:val="000000"/>
                <w:sz w:val="18"/>
                <w:szCs w:val="18"/>
              </w:rPr>
            </w:pPr>
          </w:p>
        </w:tc>
        <w:tc>
          <w:tcPr>
            <w:tcW w:w="682" w:type="dxa"/>
            <w:tcBorders>
              <w:top w:val="nil"/>
              <w:left w:val="single" w:sz="4" w:space="0" w:color="auto"/>
              <w:bottom w:val="single" w:sz="4" w:space="0" w:color="auto"/>
              <w:right w:val="single" w:sz="4" w:space="0" w:color="auto"/>
            </w:tcBorders>
            <w:shd w:val="clear" w:color="auto" w:fill="auto"/>
            <w:vAlign w:val="bottom"/>
            <w:hideMark/>
          </w:tcPr>
          <w:p w14:paraId="569F1DD5"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2014</w:t>
            </w:r>
          </w:p>
        </w:tc>
        <w:tc>
          <w:tcPr>
            <w:tcW w:w="682" w:type="dxa"/>
            <w:tcBorders>
              <w:top w:val="nil"/>
              <w:left w:val="nil"/>
              <w:bottom w:val="single" w:sz="4" w:space="0" w:color="auto"/>
              <w:right w:val="single" w:sz="4" w:space="0" w:color="auto"/>
            </w:tcBorders>
            <w:shd w:val="clear" w:color="auto" w:fill="auto"/>
            <w:vAlign w:val="bottom"/>
            <w:hideMark/>
          </w:tcPr>
          <w:p w14:paraId="569F1DD6"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2015</w:t>
            </w:r>
          </w:p>
        </w:tc>
        <w:tc>
          <w:tcPr>
            <w:tcW w:w="682" w:type="dxa"/>
            <w:tcBorders>
              <w:top w:val="nil"/>
              <w:left w:val="nil"/>
              <w:bottom w:val="single" w:sz="4" w:space="0" w:color="auto"/>
              <w:right w:val="single" w:sz="4" w:space="0" w:color="auto"/>
            </w:tcBorders>
            <w:shd w:val="clear" w:color="auto" w:fill="auto"/>
            <w:vAlign w:val="bottom"/>
            <w:hideMark/>
          </w:tcPr>
          <w:p w14:paraId="569F1DD7"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2016</w:t>
            </w:r>
          </w:p>
        </w:tc>
        <w:tc>
          <w:tcPr>
            <w:tcW w:w="682" w:type="dxa"/>
            <w:tcBorders>
              <w:top w:val="nil"/>
              <w:left w:val="nil"/>
              <w:bottom w:val="single" w:sz="4" w:space="0" w:color="auto"/>
              <w:right w:val="single" w:sz="4" w:space="0" w:color="auto"/>
            </w:tcBorders>
            <w:shd w:val="clear" w:color="auto" w:fill="auto"/>
            <w:vAlign w:val="bottom"/>
            <w:hideMark/>
          </w:tcPr>
          <w:p w14:paraId="569F1DD8"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2014</w:t>
            </w:r>
          </w:p>
        </w:tc>
        <w:tc>
          <w:tcPr>
            <w:tcW w:w="682" w:type="dxa"/>
            <w:tcBorders>
              <w:top w:val="nil"/>
              <w:left w:val="nil"/>
              <w:bottom w:val="single" w:sz="4" w:space="0" w:color="auto"/>
              <w:right w:val="single" w:sz="4" w:space="0" w:color="auto"/>
            </w:tcBorders>
            <w:shd w:val="clear" w:color="auto" w:fill="auto"/>
            <w:vAlign w:val="bottom"/>
            <w:hideMark/>
          </w:tcPr>
          <w:p w14:paraId="569F1DD9"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2015</w:t>
            </w:r>
          </w:p>
        </w:tc>
        <w:tc>
          <w:tcPr>
            <w:tcW w:w="682" w:type="dxa"/>
            <w:tcBorders>
              <w:top w:val="nil"/>
              <w:left w:val="nil"/>
              <w:bottom w:val="single" w:sz="4" w:space="0" w:color="auto"/>
              <w:right w:val="single" w:sz="4" w:space="0" w:color="auto"/>
            </w:tcBorders>
            <w:shd w:val="clear" w:color="auto" w:fill="auto"/>
            <w:vAlign w:val="bottom"/>
            <w:hideMark/>
          </w:tcPr>
          <w:p w14:paraId="569F1DDA"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2016</w:t>
            </w:r>
          </w:p>
        </w:tc>
        <w:tc>
          <w:tcPr>
            <w:tcW w:w="682" w:type="dxa"/>
            <w:tcBorders>
              <w:top w:val="nil"/>
              <w:left w:val="nil"/>
              <w:bottom w:val="single" w:sz="4" w:space="0" w:color="auto"/>
              <w:right w:val="single" w:sz="4" w:space="0" w:color="auto"/>
            </w:tcBorders>
            <w:shd w:val="clear" w:color="auto" w:fill="auto"/>
            <w:vAlign w:val="bottom"/>
            <w:hideMark/>
          </w:tcPr>
          <w:p w14:paraId="569F1DDB"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2014</w:t>
            </w:r>
          </w:p>
        </w:tc>
        <w:tc>
          <w:tcPr>
            <w:tcW w:w="682" w:type="dxa"/>
            <w:tcBorders>
              <w:top w:val="nil"/>
              <w:left w:val="nil"/>
              <w:bottom w:val="single" w:sz="4" w:space="0" w:color="auto"/>
              <w:right w:val="single" w:sz="4" w:space="0" w:color="auto"/>
            </w:tcBorders>
            <w:shd w:val="clear" w:color="auto" w:fill="auto"/>
            <w:vAlign w:val="bottom"/>
            <w:hideMark/>
          </w:tcPr>
          <w:p w14:paraId="569F1DDC"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2015</w:t>
            </w:r>
          </w:p>
        </w:tc>
        <w:tc>
          <w:tcPr>
            <w:tcW w:w="685" w:type="dxa"/>
            <w:tcBorders>
              <w:top w:val="nil"/>
              <w:left w:val="nil"/>
              <w:bottom w:val="single" w:sz="4" w:space="0" w:color="auto"/>
              <w:right w:val="single" w:sz="4" w:space="0" w:color="auto"/>
            </w:tcBorders>
            <w:shd w:val="clear" w:color="auto" w:fill="auto"/>
            <w:vAlign w:val="bottom"/>
            <w:hideMark/>
          </w:tcPr>
          <w:p w14:paraId="569F1DDD"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2016</w:t>
            </w:r>
          </w:p>
        </w:tc>
        <w:tc>
          <w:tcPr>
            <w:tcW w:w="682" w:type="dxa"/>
            <w:tcBorders>
              <w:top w:val="nil"/>
              <w:left w:val="nil"/>
              <w:bottom w:val="single" w:sz="4" w:space="0" w:color="auto"/>
              <w:right w:val="single" w:sz="4" w:space="0" w:color="auto"/>
            </w:tcBorders>
            <w:shd w:val="clear" w:color="auto" w:fill="auto"/>
            <w:vAlign w:val="bottom"/>
            <w:hideMark/>
          </w:tcPr>
          <w:p w14:paraId="569F1DDE"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2014</w:t>
            </w:r>
          </w:p>
        </w:tc>
        <w:tc>
          <w:tcPr>
            <w:tcW w:w="682" w:type="dxa"/>
            <w:tcBorders>
              <w:top w:val="nil"/>
              <w:left w:val="nil"/>
              <w:bottom w:val="single" w:sz="4" w:space="0" w:color="auto"/>
              <w:right w:val="single" w:sz="4" w:space="0" w:color="auto"/>
            </w:tcBorders>
            <w:shd w:val="clear" w:color="auto" w:fill="auto"/>
            <w:vAlign w:val="bottom"/>
            <w:hideMark/>
          </w:tcPr>
          <w:p w14:paraId="569F1DDF"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2015</w:t>
            </w:r>
          </w:p>
        </w:tc>
        <w:tc>
          <w:tcPr>
            <w:tcW w:w="685" w:type="dxa"/>
            <w:tcBorders>
              <w:top w:val="nil"/>
              <w:left w:val="nil"/>
              <w:bottom w:val="single" w:sz="4" w:space="0" w:color="auto"/>
              <w:right w:val="single" w:sz="4" w:space="0" w:color="auto"/>
            </w:tcBorders>
            <w:shd w:val="clear" w:color="auto" w:fill="auto"/>
            <w:vAlign w:val="bottom"/>
            <w:hideMark/>
          </w:tcPr>
          <w:p w14:paraId="569F1DE0"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2016</w:t>
            </w:r>
          </w:p>
        </w:tc>
        <w:tc>
          <w:tcPr>
            <w:tcW w:w="645" w:type="dxa"/>
            <w:tcBorders>
              <w:top w:val="nil"/>
              <w:left w:val="nil"/>
              <w:bottom w:val="single" w:sz="4" w:space="0" w:color="auto"/>
              <w:right w:val="single" w:sz="4" w:space="0" w:color="auto"/>
            </w:tcBorders>
            <w:shd w:val="clear" w:color="auto" w:fill="auto"/>
            <w:vAlign w:val="bottom"/>
            <w:hideMark/>
          </w:tcPr>
          <w:p w14:paraId="569F1DE1"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2014</w:t>
            </w:r>
          </w:p>
        </w:tc>
        <w:tc>
          <w:tcPr>
            <w:tcW w:w="645" w:type="dxa"/>
            <w:tcBorders>
              <w:top w:val="nil"/>
              <w:left w:val="nil"/>
              <w:bottom w:val="single" w:sz="4" w:space="0" w:color="auto"/>
              <w:right w:val="single" w:sz="4" w:space="0" w:color="auto"/>
            </w:tcBorders>
            <w:shd w:val="clear" w:color="auto" w:fill="auto"/>
            <w:vAlign w:val="bottom"/>
            <w:hideMark/>
          </w:tcPr>
          <w:p w14:paraId="569F1DE2"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2015</w:t>
            </w:r>
          </w:p>
        </w:tc>
        <w:tc>
          <w:tcPr>
            <w:tcW w:w="591" w:type="dxa"/>
            <w:tcBorders>
              <w:top w:val="nil"/>
              <w:left w:val="nil"/>
              <w:bottom w:val="single" w:sz="4" w:space="0" w:color="auto"/>
              <w:right w:val="single" w:sz="4" w:space="0" w:color="auto"/>
            </w:tcBorders>
            <w:shd w:val="clear" w:color="auto" w:fill="auto"/>
            <w:vAlign w:val="bottom"/>
            <w:hideMark/>
          </w:tcPr>
          <w:p w14:paraId="569F1DE3"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2016</w:t>
            </w:r>
          </w:p>
        </w:tc>
        <w:tc>
          <w:tcPr>
            <w:tcW w:w="682" w:type="dxa"/>
            <w:tcBorders>
              <w:top w:val="nil"/>
              <w:left w:val="nil"/>
              <w:bottom w:val="single" w:sz="4" w:space="0" w:color="auto"/>
              <w:right w:val="single" w:sz="4" w:space="0" w:color="auto"/>
            </w:tcBorders>
            <w:shd w:val="clear" w:color="auto" w:fill="auto"/>
            <w:vAlign w:val="bottom"/>
            <w:hideMark/>
          </w:tcPr>
          <w:p w14:paraId="569F1DE4"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2014</w:t>
            </w:r>
          </w:p>
        </w:tc>
        <w:tc>
          <w:tcPr>
            <w:tcW w:w="682" w:type="dxa"/>
            <w:tcBorders>
              <w:top w:val="nil"/>
              <w:left w:val="nil"/>
              <w:bottom w:val="single" w:sz="4" w:space="0" w:color="auto"/>
              <w:right w:val="single" w:sz="4" w:space="0" w:color="auto"/>
            </w:tcBorders>
            <w:shd w:val="clear" w:color="auto" w:fill="auto"/>
            <w:vAlign w:val="bottom"/>
            <w:hideMark/>
          </w:tcPr>
          <w:p w14:paraId="569F1DE5"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2015</w:t>
            </w:r>
          </w:p>
        </w:tc>
        <w:tc>
          <w:tcPr>
            <w:tcW w:w="685" w:type="dxa"/>
            <w:tcBorders>
              <w:top w:val="nil"/>
              <w:left w:val="nil"/>
              <w:bottom w:val="single" w:sz="4" w:space="0" w:color="auto"/>
              <w:right w:val="single" w:sz="4" w:space="0" w:color="auto"/>
            </w:tcBorders>
            <w:shd w:val="clear" w:color="auto" w:fill="auto"/>
            <w:vAlign w:val="bottom"/>
            <w:hideMark/>
          </w:tcPr>
          <w:p w14:paraId="569F1DE6" w14:textId="77777777" w:rsidR="0042408F" w:rsidRPr="00761055" w:rsidRDefault="0042408F" w:rsidP="0042408F">
            <w:pPr>
              <w:spacing w:line="240" w:lineRule="auto"/>
              <w:jc w:val="right"/>
              <w:rPr>
                <w:rFonts w:eastAsia="Times New Roman" w:cstheme="minorHAnsi"/>
                <w:b/>
                <w:bCs/>
                <w:color w:val="000000"/>
                <w:sz w:val="18"/>
                <w:szCs w:val="18"/>
              </w:rPr>
            </w:pPr>
            <w:r w:rsidRPr="00761055">
              <w:rPr>
                <w:rFonts w:eastAsia="Times New Roman" w:cstheme="minorHAnsi"/>
                <w:b/>
                <w:bCs/>
                <w:color w:val="000000"/>
                <w:sz w:val="18"/>
                <w:szCs w:val="18"/>
              </w:rPr>
              <w:t>2016</w:t>
            </w:r>
          </w:p>
        </w:tc>
      </w:tr>
      <w:tr w:rsidR="007A2E50" w:rsidRPr="00761055" w14:paraId="569F1DFB" w14:textId="77777777" w:rsidTr="002F33BC">
        <w:trPr>
          <w:trHeight w:val="402"/>
        </w:trPr>
        <w:tc>
          <w:tcPr>
            <w:tcW w:w="2024" w:type="dxa"/>
            <w:tcBorders>
              <w:top w:val="nil"/>
              <w:left w:val="nil"/>
              <w:bottom w:val="nil"/>
              <w:right w:val="nil"/>
            </w:tcBorders>
            <w:shd w:val="clear" w:color="auto" w:fill="auto"/>
            <w:noWrap/>
            <w:vAlign w:val="bottom"/>
            <w:hideMark/>
          </w:tcPr>
          <w:p w14:paraId="569F1DE8"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Alblasserdam</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DE9" w14:textId="77777777" w:rsidR="00761055" w:rsidRPr="00761055" w:rsidRDefault="00761055">
            <w:pPr>
              <w:jc w:val="right"/>
              <w:rPr>
                <w:rFonts w:cstheme="minorHAnsi"/>
                <w:color w:val="000000"/>
                <w:sz w:val="18"/>
                <w:szCs w:val="18"/>
              </w:rPr>
            </w:pPr>
            <w:r w:rsidRPr="00761055">
              <w:rPr>
                <w:rFonts w:cstheme="minorHAnsi"/>
                <w:color w:val="000000"/>
                <w:sz w:val="18"/>
                <w:szCs w:val="18"/>
              </w:rPr>
              <w:t>102,0%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DEA" w14:textId="77777777" w:rsidR="00761055" w:rsidRPr="00761055" w:rsidRDefault="00761055">
            <w:pPr>
              <w:jc w:val="right"/>
              <w:rPr>
                <w:rFonts w:cstheme="minorHAnsi"/>
                <w:color w:val="000000"/>
                <w:sz w:val="18"/>
                <w:szCs w:val="18"/>
              </w:rPr>
            </w:pPr>
            <w:r w:rsidRPr="00761055">
              <w:rPr>
                <w:rFonts w:cstheme="minorHAnsi"/>
                <w:color w:val="000000"/>
                <w:sz w:val="18"/>
                <w:szCs w:val="18"/>
              </w:rPr>
              <w:t>107,0%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DEB" w14:textId="77777777" w:rsidR="00761055" w:rsidRPr="00761055" w:rsidRDefault="00761055">
            <w:pPr>
              <w:jc w:val="right"/>
              <w:rPr>
                <w:rFonts w:cstheme="minorHAnsi"/>
                <w:color w:val="000000"/>
                <w:sz w:val="18"/>
                <w:szCs w:val="18"/>
              </w:rPr>
            </w:pPr>
            <w:r w:rsidRPr="00761055">
              <w:rPr>
                <w:rFonts w:cstheme="minorHAnsi"/>
                <w:color w:val="000000"/>
                <w:sz w:val="18"/>
                <w:szCs w:val="18"/>
              </w:rPr>
              <w:t>92,0%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DEC" w14:textId="77777777" w:rsidR="00761055" w:rsidRPr="00761055" w:rsidRDefault="00761055">
            <w:pPr>
              <w:jc w:val="right"/>
              <w:rPr>
                <w:rFonts w:cstheme="minorHAnsi"/>
                <w:color w:val="000000"/>
                <w:sz w:val="18"/>
                <w:szCs w:val="18"/>
              </w:rPr>
            </w:pPr>
            <w:r w:rsidRPr="00761055">
              <w:rPr>
                <w:rFonts w:cstheme="minorHAnsi"/>
                <w:color w:val="000000"/>
                <w:sz w:val="18"/>
                <w:szCs w:val="18"/>
              </w:rPr>
              <w:t>94,0%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DED" w14:textId="77777777" w:rsidR="00761055" w:rsidRPr="00761055" w:rsidRDefault="00761055">
            <w:pPr>
              <w:jc w:val="right"/>
              <w:rPr>
                <w:rFonts w:cstheme="minorHAnsi"/>
                <w:color w:val="000000"/>
                <w:sz w:val="18"/>
                <w:szCs w:val="18"/>
              </w:rPr>
            </w:pPr>
            <w:r w:rsidRPr="00761055">
              <w:rPr>
                <w:rFonts w:cstheme="minorHAnsi"/>
                <w:color w:val="000000"/>
                <w:sz w:val="18"/>
                <w:szCs w:val="18"/>
              </w:rPr>
              <w:t>100,0%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DEE" w14:textId="77777777" w:rsidR="00761055" w:rsidRPr="00761055" w:rsidRDefault="00761055">
            <w:pPr>
              <w:jc w:val="right"/>
              <w:rPr>
                <w:rFonts w:cstheme="minorHAnsi"/>
                <w:color w:val="000000"/>
                <w:sz w:val="18"/>
                <w:szCs w:val="18"/>
              </w:rPr>
            </w:pPr>
            <w:r w:rsidRPr="00761055">
              <w:rPr>
                <w:rFonts w:cstheme="minorHAnsi"/>
                <w:color w:val="000000"/>
                <w:sz w:val="18"/>
                <w:szCs w:val="18"/>
              </w:rPr>
              <w:t>86,0%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DEF" w14:textId="77777777" w:rsidR="00761055" w:rsidRPr="00761055" w:rsidRDefault="00761055">
            <w:pPr>
              <w:jc w:val="right"/>
              <w:rPr>
                <w:rFonts w:cstheme="minorHAnsi"/>
                <w:color w:val="000000"/>
                <w:sz w:val="18"/>
                <w:szCs w:val="18"/>
              </w:rPr>
            </w:pPr>
            <w:r w:rsidRPr="00761055">
              <w:rPr>
                <w:rFonts w:cstheme="minorHAnsi"/>
                <w:color w:val="000000"/>
                <w:sz w:val="18"/>
                <w:szCs w:val="18"/>
              </w:rPr>
              <w:t>19,0%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DF0" w14:textId="77777777" w:rsidR="00761055" w:rsidRPr="00761055" w:rsidRDefault="00761055">
            <w:pPr>
              <w:jc w:val="right"/>
              <w:rPr>
                <w:rFonts w:cstheme="minorHAnsi"/>
                <w:color w:val="000000"/>
                <w:sz w:val="18"/>
                <w:szCs w:val="18"/>
              </w:rPr>
            </w:pPr>
            <w:r w:rsidRPr="00761055">
              <w:rPr>
                <w:rFonts w:cstheme="minorHAnsi"/>
                <w:color w:val="000000"/>
                <w:sz w:val="18"/>
                <w:szCs w:val="18"/>
              </w:rPr>
              <w:t>16,0%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DF1" w14:textId="77777777" w:rsidR="00761055" w:rsidRPr="00761055" w:rsidRDefault="00761055">
            <w:pPr>
              <w:jc w:val="right"/>
              <w:rPr>
                <w:rFonts w:cstheme="minorHAnsi"/>
                <w:color w:val="000000"/>
                <w:sz w:val="18"/>
                <w:szCs w:val="18"/>
              </w:rPr>
            </w:pPr>
            <w:r w:rsidRPr="00761055">
              <w:rPr>
                <w:rFonts w:cstheme="minorHAnsi"/>
                <w:color w:val="000000"/>
                <w:sz w:val="18"/>
                <w:szCs w:val="18"/>
              </w:rPr>
              <w:t>17,0%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DF2" w14:textId="77777777" w:rsidR="00761055" w:rsidRPr="00761055" w:rsidRDefault="00761055">
            <w:pPr>
              <w:jc w:val="right"/>
              <w:rPr>
                <w:rFonts w:cstheme="minorHAnsi"/>
                <w:color w:val="000000"/>
                <w:sz w:val="18"/>
                <w:szCs w:val="18"/>
              </w:rPr>
            </w:pPr>
            <w:r w:rsidRPr="00761055">
              <w:rPr>
                <w:rFonts w:cstheme="minorHAnsi"/>
                <w:color w:val="000000"/>
                <w:sz w:val="18"/>
                <w:szCs w:val="18"/>
              </w:rPr>
              <w:t>23,0%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DF3" w14:textId="77777777" w:rsidR="00761055" w:rsidRPr="00761055" w:rsidRDefault="00761055">
            <w:pPr>
              <w:jc w:val="right"/>
              <w:rPr>
                <w:rFonts w:cstheme="minorHAnsi"/>
                <w:color w:val="000000"/>
                <w:sz w:val="18"/>
                <w:szCs w:val="18"/>
              </w:rPr>
            </w:pPr>
            <w:r w:rsidRPr="00761055">
              <w:rPr>
                <w:rFonts w:cstheme="minorHAnsi"/>
                <w:color w:val="000000"/>
                <w:sz w:val="18"/>
                <w:szCs w:val="18"/>
              </w:rPr>
              <w:t>19,0%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DF4" w14:textId="77777777" w:rsidR="00761055" w:rsidRPr="00761055" w:rsidRDefault="00761055">
            <w:pPr>
              <w:jc w:val="right"/>
              <w:rPr>
                <w:rFonts w:cstheme="minorHAnsi"/>
                <w:color w:val="000000"/>
                <w:sz w:val="18"/>
                <w:szCs w:val="18"/>
              </w:rPr>
            </w:pPr>
            <w:r w:rsidRPr="00761055">
              <w:rPr>
                <w:rFonts w:cstheme="minorHAnsi"/>
                <w:color w:val="000000"/>
                <w:sz w:val="18"/>
                <w:szCs w:val="18"/>
              </w:rPr>
              <w:t>12,0%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DF5" w14:textId="77777777" w:rsidR="00761055" w:rsidRPr="00761055" w:rsidRDefault="00761055">
            <w:pPr>
              <w:jc w:val="right"/>
              <w:rPr>
                <w:rFonts w:cstheme="minorHAnsi"/>
                <w:color w:val="000000"/>
                <w:sz w:val="18"/>
                <w:szCs w:val="18"/>
              </w:rPr>
            </w:pPr>
            <w:r w:rsidRPr="00761055">
              <w:rPr>
                <w:rFonts w:cstheme="minorHAnsi"/>
                <w:color w:val="000000"/>
                <w:sz w:val="18"/>
                <w:szCs w:val="18"/>
              </w:rPr>
              <w:t>2,4%</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DF6" w14:textId="77777777" w:rsidR="00761055" w:rsidRPr="00761055" w:rsidRDefault="00761055">
            <w:pPr>
              <w:jc w:val="right"/>
              <w:rPr>
                <w:rFonts w:cstheme="minorHAnsi"/>
                <w:color w:val="000000"/>
                <w:sz w:val="18"/>
                <w:szCs w:val="18"/>
              </w:rPr>
            </w:pPr>
            <w:r w:rsidRPr="00761055">
              <w:rPr>
                <w:rFonts w:cstheme="minorHAnsi"/>
                <w:color w:val="000000"/>
                <w:sz w:val="18"/>
                <w:szCs w:val="18"/>
              </w:rPr>
              <w:t>0,5%</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DF7" w14:textId="77777777" w:rsidR="00761055" w:rsidRPr="00761055" w:rsidRDefault="00761055">
            <w:pPr>
              <w:jc w:val="right"/>
              <w:rPr>
                <w:rFonts w:cstheme="minorHAnsi"/>
                <w:color w:val="000000"/>
                <w:sz w:val="18"/>
                <w:szCs w:val="18"/>
              </w:rPr>
            </w:pPr>
            <w:r w:rsidRPr="00761055">
              <w:rPr>
                <w:rFonts w:cstheme="minorHAnsi"/>
                <w:color w:val="000000"/>
                <w:sz w:val="18"/>
                <w:szCs w:val="18"/>
              </w:rPr>
              <w:t>0,4%</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DF8" w14:textId="77777777" w:rsidR="00761055" w:rsidRPr="00761055" w:rsidRDefault="00761055">
            <w:pPr>
              <w:jc w:val="right"/>
              <w:rPr>
                <w:rFonts w:cstheme="minorHAnsi"/>
                <w:color w:val="000000"/>
                <w:sz w:val="18"/>
                <w:szCs w:val="18"/>
              </w:rPr>
            </w:pPr>
            <w:r w:rsidRPr="00761055">
              <w:rPr>
                <w:rFonts w:cstheme="minorHAnsi"/>
                <w:color w:val="000000"/>
                <w:sz w:val="18"/>
                <w:szCs w:val="18"/>
              </w:rPr>
              <w:t>111,5%</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DF9" w14:textId="77777777" w:rsidR="00761055" w:rsidRPr="00761055" w:rsidRDefault="00761055">
            <w:pPr>
              <w:jc w:val="right"/>
              <w:rPr>
                <w:rFonts w:cstheme="minorHAnsi"/>
                <w:color w:val="000000"/>
                <w:sz w:val="18"/>
                <w:szCs w:val="18"/>
              </w:rPr>
            </w:pPr>
            <w:r w:rsidRPr="00761055">
              <w:rPr>
                <w:rFonts w:cstheme="minorHAnsi"/>
                <w:color w:val="000000"/>
                <w:sz w:val="18"/>
                <w:szCs w:val="18"/>
              </w:rPr>
              <w:t>110,8%</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DFA" w14:textId="77777777" w:rsidR="00761055" w:rsidRPr="00761055" w:rsidRDefault="00761055">
            <w:pPr>
              <w:jc w:val="right"/>
              <w:rPr>
                <w:rFonts w:cstheme="minorHAnsi"/>
                <w:color w:val="000000"/>
                <w:sz w:val="18"/>
                <w:szCs w:val="18"/>
              </w:rPr>
            </w:pPr>
            <w:r w:rsidRPr="00761055">
              <w:rPr>
                <w:rFonts w:cstheme="minorHAnsi"/>
                <w:color w:val="000000"/>
                <w:sz w:val="18"/>
                <w:szCs w:val="18"/>
              </w:rPr>
              <w:t>108,9%</w:t>
            </w:r>
          </w:p>
        </w:tc>
      </w:tr>
      <w:tr w:rsidR="007A2E50" w:rsidRPr="00761055" w14:paraId="569F1E0F" w14:textId="77777777" w:rsidTr="002F33BC">
        <w:trPr>
          <w:trHeight w:val="402"/>
        </w:trPr>
        <w:tc>
          <w:tcPr>
            <w:tcW w:w="2024" w:type="dxa"/>
            <w:tcBorders>
              <w:top w:val="nil"/>
              <w:left w:val="nil"/>
              <w:bottom w:val="nil"/>
              <w:right w:val="nil"/>
            </w:tcBorders>
            <w:shd w:val="clear" w:color="auto" w:fill="auto"/>
            <w:noWrap/>
            <w:vAlign w:val="bottom"/>
            <w:hideMark/>
          </w:tcPr>
          <w:p w14:paraId="569F1DFC"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Albrandswaard</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DFD" w14:textId="77777777" w:rsidR="00761055" w:rsidRPr="00761055" w:rsidRDefault="00761055">
            <w:pPr>
              <w:jc w:val="right"/>
              <w:rPr>
                <w:rFonts w:cstheme="minorHAnsi"/>
                <w:color w:val="000000"/>
                <w:sz w:val="18"/>
                <w:szCs w:val="18"/>
              </w:rPr>
            </w:pPr>
            <w:r w:rsidRPr="00761055">
              <w:rPr>
                <w:rFonts w:cstheme="minorHAnsi"/>
                <w:color w:val="000000"/>
                <w:sz w:val="18"/>
                <w:szCs w:val="18"/>
              </w:rPr>
              <w:t>81,0%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DFE" w14:textId="77777777" w:rsidR="00761055" w:rsidRPr="00761055" w:rsidRDefault="00761055">
            <w:pPr>
              <w:jc w:val="right"/>
              <w:rPr>
                <w:rFonts w:cstheme="minorHAnsi"/>
                <w:color w:val="000000"/>
                <w:sz w:val="18"/>
                <w:szCs w:val="18"/>
              </w:rPr>
            </w:pPr>
            <w:r w:rsidRPr="00761055">
              <w:rPr>
                <w:rFonts w:cstheme="minorHAnsi"/>
                <w:color w:val="000000"/>
                <w:sz w:val="18"/>
                <w:szCs w:val="18"/>
              </w:rPr>
              <w:t>85,0%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DFF" w14:textId="77777777" w:rsidR="00761055" w:rsidRPr="00761055" w:rsidRDefault="00761055">
            <w:pPr>
              <w:jc w:val="right"/>
              <w:rPr>
                <w:rFonts w:cstheme="minorHAnsi"/>
                <w:color w:val="000000"/>
                <w:sz w:val="18"/>
                <w:szCs w:val="18"/>
              </w:rPr>
            </w:pPr>
            <w:r w:rsidRPr="00761055">
              <w:rPr>
                <w:rFonts w:cstheme="minorHAnsi"/>
                <w:color w:val="000000"/>
                <w:sz w:val="18"/>
                <w:szCs w:val="18"/>
              </w:rPr>
              <w:t>92,8%</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00" w14:textId="77777777" w:rsidR="00761055" w:rsidRPr="00761055" w:rsidRDefault="00761055">
            <w:pPr>
              <w:jc w:val="right"/>
              <w:rPr>
                <w:rFonts w:cstheme="minorHAnsi"/>
                <w:color w:val="000000"/>
                <w:sz w:val="18"/>
                <w:szCs w:val="18"/>
              </w:rPr>
            </w:pPr>
            <w:r w:rsidRPr="00761055">
              <w:rPr>
                <w:rFonts w:cstheme="minorHAnsi"/>
                <w:color w:val="000000"/>
                <w:sz w:val="18"/>
                <w:szCs w:val="18"/>
              </w:rPr>
              <w:t>76,0%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01" w14:textId="77777777" w:rsidR="00761055" w:rsidRPr="00761055" w:rsidRDefault="00761055">
            <w:pPr>
              <w:jc w:val="right"/>
              <w:rPr>
                <w:rFonts w:cstheme="minorHAnsi"/>
                <w:color w:val="000000"/>
                <w:sz w:val="18"/>
                <w:szCs w:val="18"/>
              </w:rPr>
            </w:pPr>
            <w:r w:rsidRPr="00761055">
              <w:rPr>
                <w:rFonts w:cstheme="minorHAnsi"/>
                <w:color w:val="000000"/>
                <w:sz w:val="18"/>
                <w:szCs w:val="18"/>
              </w:rPr>
              <w:t>80,0%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02" w14:textId="77777777" w:rsidR="00761055" w:rsidRPr="00761055" w:rsidRDefault="00761055">
            <w:pPr>
              <w:jc w:val="right"/>
              <w:rPr>
                <w:rFonts w:cstheme="minorHAnsi"/>
                <w:color w:val="000000"/>
                <w:sz w:val="18"/>
                <w:szCs w:val="18"/>
              </w:rPr>
            </w:pPr>
            <w:r w:rsidRPr="00761055">
              <w:rPr>
                <w:rFonts w:cstheme="minorHAnsi"/>
                <w:color w:val="000000"/>
                <w:sz w:val="18"/>
                <w:szCs w:val="18"/>
              </w:rPr>
              <w:t>87,1%</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03" w14:textId="77777777" w:rsidR="00761055" w:rsidRPr="00761055" w:rsidRDefault="00761055">
            <w:pPr>
              <w:jc w:val="right"/>
              <w:rPr>
                <w:rFonts w:cstheme="minorHAnsi"/>
                <w:color w:val="000000"/>
                <w:sz w:val="18"/>
                <w:szCs w:val="18"/>
              </w:rPr>
            </w:pPr>
            <w:r w:rsidRPr="00761055">
              <w:rPr>
                <w:rFonts w:cstheme="minorHAnsi"/>
                <w:color w:val="000000"/>
                <w:sz w:val="18"/>
                <w:szCs w:val="18"/>
              </w:rPr>
              <w:t>29,0%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04" w14:textId="77777777" w:rsidR="00761055" w:rsidRPr="00761055" w:rsidRDefault="00761055">
            <w:pPr>
              <w:jc w:val="right"/>
              <w:rPr>
                <w:rFonts w:cstheme="minorHAnsi"/>
                <w:color w:val="000000"/>
                <w:sz w:val="18"/>
                <w:szCs w:val="18"/>
              </w:rPr>
            </w:pPr>
            <w:r w:rsidRPr="00761055">
              <w:rPr>
                <w:rFonts w:cstheme="minorHAnsi"/>
                <w:color w:val="000000"/>
                <w:sz w:val="18"/>
                <w:szCs w:val="18"/>
              </w:rPr>
              <w:t>29,0%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05" w14:textId="77777777" w:rsidR="00761055" w:rsidRPr="00761055" w:rsidRDefault="00761055">
            <w:pPr>
              <w:jc w:val="right"/>
              <w:rPr>
                <w:rFonts w:cstheme="minorHAnsi"/>
                <w:color w:val="000000"/>
                <w:sz w:val="18"/>
                <w:szCs w:val="18"/>
              </w:rPr>
            </w:pPr>
            <w:r w:rsidRPr="00761055">
              <w:rPr>
                <w:rFonts w:cstheme="minorHAnsi"/>
                <w:color w:val="000000"/>
                <w:sz w:val="18"/>
                <w:szCs w:val="18"/>
              </w:rPr>
              <w:t>23,8%</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06" w14:textId="77777777" w:rsidR="00761055" w:rsidRPr="00761055" w:rsidRDefault="00761055">
            <w:pPr>
              <w:jc w:val="right"/>
              <w:rPr>
                <w:rFonts w:cstheme="minorHAnsi"/>
                <w:color w:val="000000"/>
                <w:sz w:val="18"/>
                <w:szCs w:val="18"/>
              </w:rPr>
            </w:pPr>
            <w:r w:rsidRPr="00761055">
              <w:rPr>
                <w:rFonts w:cstheme="minorHAnsi"/>
                <w:color w:val="000000"/>
                <w:sz w:val="18"/>
                <w:szCs w:val="18"/>
              </w:rPr>
              <w:t>33,0%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07" w14:textId="77777777" w:rsidR="00761055" w:rsidRPr="00761055" w:rsidRDefault="00761055">
            <w:pPr>
              <w:jc w:val="right"/>
              <w:rPr>
                <w:rFonts w:cstheme="minorHAnsi"/>
                <w:color w:val="000000"/>
                <w:sz w:val="18"/>
                <w:szCs w:val="18"/>
              </w:rPr>
            </w:pPr>
            <w:r w:rsidRPr="00761055">
              <w:rPr>
                <w:rFonts w:cstheme="minorHAnsi"/>
                <w:color w:val="000000"/>
                <w:sz w:val="18"/>
                <w:szCs w:val="18"/>
              </w:rPr>
              <w:t>23,0%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08" w14:textId="77777777" w:rsidR="00761055" w:rsidRPr="00761055" w:rsidRDefault="00761055">
            <w:pPr>
              <w:jc w:val="right"/>
              <w:rPr>
                <w:rFonts w:cstheme="minorHAnsi"/>
                <w:color w:val="000000"/>
                <w:sz w:val="18"/>
                <w:szCs w:val="18"/>
              </w:rPr>
            </w:pPr>
            <w:r w:rsidRPr="00761055">
              <w:rPr>
                <w:rFonts w:cstheme="minorHAnsi"/>
                <w:color w:val="000000"/>
                <w:sz w:val="18"/>
                <w:szCs w:val="18"/>
              </w:rPr>
              <w:t>19,4%</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09" w14:textId="77777777" w:rsidR="00761055" w:rsidRPr="00761055" w:rsidRDefault="00761055">
            <w:pPr>
              <w:jc w:val="right"/>
              <w:rPr>
                <w:rFonts w:cstheme="minorHAnsi"/>
                <w:color w:val="000000"/>
                <w:sz w:val="18"/>
                <w:szCs w:val="18"/>
              </w:rPr>
            </w:pPr>
            <w:r w:rsidRPr="00761055">
              <w:rPr>
                <w:rFonts w:cstheme="minorHAnsi"/>
                <w:color w:val="000000"/>
                <w:sz w:val="18"/>
                <w:szCs w:val="18"/>
              </w:rPr>
              <w:t>-0,4%</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0A" w14:textId="77777777" w:rsidR="00761055" w:rsidRPr="00761055" w:rsidRDefault="00761055">
            <w:pPr>
              <w:jc w:val="right"/>
              <w:rPr>
                <w:rFonts w:cstheme="minorHAnsi"/>
                <w:color w:val="000000"/>
                <w:sz w:val="18"/>
                <w:szCs w:val="18"/>
              </w:rPr>
            </w:pPr>
            <w:r w:rsidRPr="00761055">
              <w:rPr>
                <w:rFonts w:cstheme="minorHAnsi"/>
                <w:color w:val="000000"/>
                <w:sz w:val="18"/>
                <w:szCs w:val="18"/>
              </w:rPr>
              <w:t>-0,9%</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0B" w14:textId="77777777" w:rsidR="00761055" w:rsidRPr="00761055" w:rsidRDefault="00761055">
            <w:pPr>
              <w:jc w:val="right"/>
              <w:rPr>
                <w:rFonts w:cstheme="minorHAnsi"/>
                <w:color w:val="000000"/>
                <w:sz w:val="18"/>
                <w:szCs w:val="18"/>
              </w:rPr>
            </w:pPr>
            <w:r w:rsidRPr="00761055">
              <w:rPr>
                <w:rFonts w:cstheme="minorHAnsi"/>
                <w:color w:val="000000"/>
                <w:sz w:val="18"/>
                <w:szCs w:val="18"/>
              </w:rPr>
              <w:t>0,6%</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0C" w14:textId="77777777" w:rsidR="00761055" w:rsidRPr="00761055" w:rsidRDefault="00761055">
            <w:pPr>
              <w:jc w:val="right"/>
              <w:rPr>
                <w:rFonts w:cstheme="minorHAnsi"/>
                <w:color w:val="000000"/>
                <w:sz w:val="18"/>
                <w:szCs w:val="18"/>
              </w:rPr>
            </w:pPr>
            <w:r w:rsidRPr="00761055">
              <w:rPr>
                <w:rFonts w:cstheme="minorHAnsi"/>
                <w:color w:val="000000"/>
                <w:sz w:val="18"/>
                <w:szCs w:val="18"/>
              </w:rPr>
              <w:t>123,0%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0D" w14:textId="77777777" w:rsidR="00761055" w:rsidRPr="00761055" w:rsidRDefault="00761055">
            <w:pPr>
              <w:jc w:val="right"/>
              <w:rPr>
                <w:rFonts w:cstheme="minorHAnsi"/>
                <w:color w:val="000000"/>
                <w:sz w:val="18"/>
                <w:szCs w:val="18"/>
              </w:rPr>
            </w:pPr>
            <w:r w:rsidRPr="00761055">
              <w:rPr>
                <w:rFonts w:cstheme="minorHAnsi"/>
                <w:color w:val="000000"/>
                <w:sz w:val="18"/>
                <w:szCs w:val="18"/>
              </w:rPr>
              <w:t>120,0%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0E" w14:textId="77777777" w:rsidR="00761055" w:rsidRPr="00761055" w:rsidRDefault="00761055">
            <w:pPr>
              <w:jc w:val="right"/>
              <w:rPr>
                <w:rFonts w:cstheme="minorHAnsi"/>
                <w:color w:val="000000"/>
                <w:sz w:val="18"/>
                <w:szCs w:val="18"/>
              </w:rPr>
            </w:pPr>
            <w:r w:rsidRPr="00761055">
              <w:rPr>
                <w:rFonts w:cstheme="minorHAnsi"/>
                <w:color w:val="000000"/>
                <w:sz w:val="18"/>
                <w:szCs w:val="18"/>
              </w:rPr>
              <w:t>119,0%</w:t>
            </w:r>
          </w:p>
        </w:tc>
      </w:tr>
      <w:tr w:rsidR="007A2E50" w:rsidRPr="00761055" w14:paraId="569F1E23" w14:textId="77777777" w:rsidTr="002F33BC">
        <w:trPr>
          <w:trHeight w:val="402"/>
        </w:trPr>
        <w:tc>
          <w:tcPr>
            <w:tcW w:w="2024" w:type="dxa"/>
            <w:tcBorders>
              <w:top w:val="nil"/>
              <w:left w:val="nil"/>
              <w:bottom w:val="nil"/>
              <w:right w:val="nil"/>
            </w:tcBorders>
            <w:shd w:val="clear" w:color="auto" w:fill="auto"/>
            <w:noWrap/>
            <w:vAlign w:val="bottom"/>
            <w:hideMark/>
          </w:tcPr>
          <w:p w14:paraId="569F1E10"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 xml:space="preserve">Alphen </w:t>
            </w:r>
            <w:proofErr w:type="spellStart"/>
            <w:r w:rsidRPr="00761055">
              <w:rPr>
                <w:rFonts w:eastAsia="Times New Roman" w:cstheme="minorHAnsi"/>
                <w:color w:val="000000"/>
                <w:sz w:val="18"/>
                <w:szCs w:val="18"/>
              </w:rPr>
              <w:t>a.d.</w:t>
            </w:r>
            <w:proofErr w:type="spellEnd"/>
            <w:r w:rsidRPr="00761055">
              <w:rPr>
                <w:rFonts w:eastAsia="Times New Roman" w:cstheme="minorHAnsi"/>
                <w:color w:val="000000"/>
                <w:sz w:val="18"/>
                <w:szCs w:val="18"/>
              </w:rPr>
              <w:t xml:space="preserve"> Rijn</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11"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12"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13" w14:textId="77777777" w:rsidR="00761055" w:rsidRPr="00761055" w:rsidRDefault="00761055">
            <w:pPr>
              <w:jc w:val="right"/>
              <w:rPr>
                <w:rFonts w:cstheme="minorHAnsi"/>
                <w:color w:val="000000"/>
                <w:sz w:val="18"/>
                <w:szCs w:val="18"/>
              </w:rPr>
            </w:pPr>
            <w:r w:rsidRPr="00761055">
              <w:rPr>
                <w:rFonts w:cstheme="minorHAnsi"/>
                <w:color w:val="000000"/>
                <w:sz w:val="18"/>
                <w:szCs w:val="18"/>
              </w:rPr>
              <w:t>82,1%</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14"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15"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16" w14:textId="77777777" w:rsidR="00761055" w:rsidRPr="00761055" w:rsidRDefault="00761055">
            <w:pPr>
              <w:jc w:val="right"/>
              <w:rPr>
                <w:rFonts w:cstheme="minorHAnsi"/>
                <w:color w:val="000000"/>
                <w:sz w:val="18"/>
                <w:szCs w:val="18"/>
              </w:rPr>
            </w:pPr>
            <w:r w:rsidRPr="00761055">
              <w:rPr>
                <w:rFonts w:cstheme="minorHAnsi"/>
                <w:color w:val="000000"/>
                <w:sz w:val="18"/>
                <w:szCs w:val="18"/>
              </w:rPr>
              <w:t>73,4%</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17"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18"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19" w14:textId="77777777" w:rsidR="00761055" w:rsidRPr="00761055" w:rsidRDefault="00761055">
            <w:pPr>
              <w:jc w:val="right"/>
              <w:rPr>
                <w:rFonts w:cstheme="minorHAnsi"/>
                <w:color w:val="000000"/>
                <w:sz w:val="18"/>
                <w:szCs w:val="18"/>
              </w:rPr>
            </w:pPr>
            <w:r w:rsidRPr="00761055">
              <w:rPr>
                <w:rFonts w:cstheme="minorHAnsi"/>
                <w:color w:val="000000"/>
                <w:sz w:val="18"/>
                <w:szCs w:val="18"/>
              </w:rPr>
              <w:t>37,0%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1A"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1B"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1C" w14:textId="77777777" w:rsidR="00761055" w:rsidRPr="00761055" w:rsidRDefault="00761055">
            <w:pPr>
              <w:jc w:val="right"/>
              <w:rPr>
                <w:rFonts w:cstheme="minorHAnsi"/>
                <w:color w:val="000000"/>
                <w:sz w:val="18"/>
                <w:szCs w:val="18"/>
              </w:rPr>
            </w:pPr>
            <w:r w:rsidRPr="00761055">
              <w:rPr>
                <w:rFonts w:cstheme="minorHAnsi"/>
                <w:color w:val="000000"/>
                <w:sz w:val="18"/>
                <w:szCs w:val="18"/>
              </w:rPr>
              <w:t>13,9%</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1D"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1E"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1F" w14:textId="77777777" w:rsidR="00761055" w:rsidRPr="00761055" w:rsidRDefault="00761055">
            <w:pPr>
              <w:jc w:val="right"/>
              <w:rPr>
                <w:rFonts w:cstheme="minorHAnsi"/>
                <w:color w:val="000000"/>
                <w:sz w:val="18"/>
                <w:szCs w:val="18"/>
              </w:rPr>
            </w:pPr>
            <w:r w:rsidRPr="00761055">
              <w:rPr>
                <w:rFonts w:cstheme="minorHAnsi"/>
                <w:color w:val="000000"/>
                <w:sz w:val="18"/>
                <w:szCs w:val="18"/>
              </w:rPr>
              <w:t>1,7%</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20"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21"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22" w14:textId="77777777" w:rsidR="00761055" w:rsidRPr="00761055" w:rsidRDefault="00761055">
            <w:pPr>
              <w:jc w:val="right"/>
              <w:rPr>
                <w:rFonts w:cstheme="minorHAnsi"/>
                <w:color w:val="000000"/>
                <w:sz w:val="18"/>
                <w:szCs w:val="18"/>
              </w:rPr>
            </w:pPr>
            <w:r w:rsidRPr="00761055">
              <w:rPr>
                <w:rFonts w:cstheme="minorHAnsi"/>
                <w:color w:val="000000"/>
                <w:sz w:val="18"/>
                <w:szCs w:val="18"/>
              </w:rPr>
              <w:t>-0,4%</w:t>
            </w:r>
          </w:p>
        </w:tc>
      </w:tr>
      <w:tr w:rsidR="007A2E50" w:rsidRPr="00761055" w14:paraId="569F1E37" w14:textId="77777777" w:rsidTr="002F33BC">
        <w:trPr>
          <w:trHeight w:val="402"/>
        </w:trPr>
        <w:tc>
          <w:tcPr>
            <w:tcW w:w="2024" w:type="dxa"/>
            <w:tcBorders>
              <w:top w:val="nil"/>
              <w:left w:val="nil"/>
              <w:bottom w:val="nil"/>
              <w:right w:val="nil"/>
            </w:tcBorders>
            <w:shd w:val="clear" w:color="auto" w:fill="auto"/>
            <w:noWrap/>
            <w:vAlign w:val="bottom"/>
            <w:hideMark/>
          </w:tcPr>
          <w:p w14:paraId="569F1E24"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Barendrecht</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25" w14:textId="77777777" w:rsidR="00761055" w:rsidRPr="00761055" w:rsidRDefault="00761055">
            <w:pPr>
              <w:jc w:val="right"/>
              <w:rPr>
                <w:rFonts w:cstheme="minorHAnsi"/>
                <w:color w:val="000000"/>
                <w:sz w:val="18"/>
                <w:szCs w:val="18"/>
              </w:rPr>
            </w:pPr>
            <w:r w:rsidRPr="00761055">
              <w:rPr>
                <w:rFonts w:cstheme="minorHAnsi"/>
                <w:color w:val="000000"/>
                <w:sz w:val="18"/>
                <w:szCs w:val="18"/>
              </w:rPr>
              <w:t>132,0%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26" w14:textId="77777777" w:rsidR="00761055" w:rsidRPr="00761055" w:rsidRDefault="00761055">
            <w:pPr>
              <w:jc w:val="right"/>
              <w:rPr>
                <w:rFonts w:cstheme="minorHAnsi"/>
                <w:color w:val="000000"/>
                <w:sz w:val="18"/>
                <w:szCs w:val="18"/>
              </w:rPr>
            </w:pPr>
            <w:r w:rsidRPr="00761055">
              <w:rPr>
                <w:rFonts w:cstheme="minorHAnsi"/>
                <w:color w:val="000000"/>
                <w:sz w:val="18"/>
                <w:szCs w:val="18"/>
              </w:rPr>
              <w:t>108,0%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27" w14:textId="77777777" w:rsidR="00761055" w:rsidRPr="00761055" w:rsidRDefault="00761055">
            <w:pPr>
              <w:jc w:val="right"/>
              <w:rPr>
                <w:rFonts w:cstheme="minorHAnsi"/>
                <w:color w:val="000000"/>
                <w:sz w:val="18"/>
                <w:szCs w:val="18"/>
              </w:rPr>
            </w:pPr>
            <w:r w:rsidRPr="00761055">
              <w:rPr>
                <w:rFonts w:cstheme="minorHAnsi"/>
                <w:color w:val="000000"/>
                <w:sz w:val="18"/>
                <w:szCs w:val="18"/>
              </w:rPr>
              <w:t>98,5%</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28" w14:textId="77777777" w:rsidR="00761055" w:rsidRPr="00761055" w:rsidRDefault="00761055">
            <w:pPr>
              <w:jc w:val="right"/>
              <w:rPr>
                <w:rFonts w:cstheme="minorHAnsi"/>
                <w:color w:val="000000"/>
                <w:sz w:val="18"/>
                <w:szCs w:val="18"/>
              </w:rPr>
            </w:pPr>
            <w:r w:rsidRPr="00761055">
              <w:rPr>
                <w:rFonts w:cstheme="minorHAnsi"/>
                <w:color w:val="000000"/>
                <w:sz w:val="18"/>
                <w:szCs w:val="18"/>
              </w:rPr>
              <w:t>90,0%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29" w14:textId="77777777" w:rsidR="00761055" w:rsidRPr="00761055" w:rsidRDefault="00761055">
            <w:pPr>
              <w:jc w:val="right"/>
              <w:rPr>
                <w:rFonts w:cstheme="minorHAnsi"/>
                <w:color w:val="000000"/>
                <w:sz w:val="18"/>
                <w:szCs w:val="18"/>
              </w:rPr>
            </w:pPr>
            <w:r w:rsidRPr="00761055">
              <w:rPr>
                <w:rFonts w:cstheme="minorHAnsi"/>
                <w:color w:val="000000"/>
                <w:sz w:val="18"/>
                <w:szCs w:val="18"/>
              </w:rPr>
              <w:t>87,0%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2A" w14:textId="77777777" w:rsidR="00761055" w:rsidRPr="00761055" w:rsidRDefault="00761055">
            <w:pPr>
              <w:jc w:val="right"/>
              <w:rPr>
                <w:rFonts w:cstheme="minorHAnsi"/>
                <w:color w:val="000000"/>
                <w:sz w:val="18"/>
                <w:szCs w:val="18"/>
              </w:rPr>
            </w:pPr>
            <w:r w:rsidRPr="00761055">
              <w:rPr>
                <w:rFonts w:cstheme="minorHAnsi"/>
                <w:color w:val="000000"/>
                <w:sz w:val="18"/>
                <w:szCs w:val="18"/>
              </w:rPr>
              <w:t>86,0%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2B" w14:textId="77777777" w:rsidR="00761055" w:rsidRPr="00761055" w:rsidRDefault="00761055">
            <w:pPr>
              <w:jc w:val="right"/>
              <w:rPr>
                <w:rFonts w:cstheme="minorHAnsi"/>
                <w:color w:val="000000"/>
                <w:sz w:val="18"/>
                <w:szCs w:val="18"/>
              </w:rPr>
            </w:pPr>
            <w:r w:rsidRPr="00761055">
              <w:rPr>
                <w:rFonts w:cstheme="minorHAnsi"/>
                <w:color w:val="000000"/>
                <w:sz w:val="18"/>
                <w:szCs w:val="18"/>
              </w:rPr>
              <w:t>39,0%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2C" w14:textId="77777777" w:rsidR="00761055" w:rsidRPr="00761055" w:rsidRDefault="00761055">
            <w:pPr>
              <w:jc w:val="right"/>
              <w:rPr>
                <w:rFonts w:cstheme="minorHAnsi"/>
                <w:color w:val="000000"/>
                <w:sz w:val="18"/>
                <w:szCs w:val="18"/>
              </w:rPr>
            </w:pPr>
            <w:r w:rsidRPr="00761055">
              <w:rPr>
                <w:rFonts w:cstheme="minorHAnsi"/>
                <w:color w:val="000000"/>
                <w:sz w:val="18"/>
                <w:szCs w:val="18"/>
              </w:rPr>
              <w:t>39,0%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2D" w14:textId="77777777" w:rsidR="00761055" w:rsidRPr="00761055" w:rsidRDefault="00761055">
            <w:pPr>
              <w:jc w:val="right"/>
              <w:rPr>
                <w:rFonts w:cstheme="minorHAnsi"/>
                <w:color w:val="000000"/>
                <w:sz w:val="18"/>
                <w:szCs w:val="18"/>
              </w:rPr>
            </w:pPr>
            <w:r w:rsidRPr="00761055">
              <w:rPr>
                <w:rFonts w:cstheme="minorHAnsi"/>
                <w:color w:val="000000"/>
                <w:sz w:val="18"/>
                <w:szCs w:val="18"/>
              </w:rPr>
              <w:t>24,4%</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2E" w14:textId="77777777" w:rsidR="00761055" w:rsidRPr="00761055" w:rsidRDefault="00761055">
            <w:pPr>
              <w:jc w:val="right"/>
              <w:rPr>
                <w:rFonts w:cstheme="minorHAnsi"/>
                <w:color w:val="000000"/>
                <w:sz w:val="18"/>
                <w:szCs w:val="18"/>
              </w:rPr>
            </w:pPr>
            <w:r w:rsidRPr="00761055">
              <w:rPr>
                <w:rFonts w:cstheme="minorHAnsi"/>
                <w:color w:val="000000"/>
                <w:sz w:val="18"/>
                <w:szCs w:val="18"/>
              </w:rPr>
              <w:t>9,0%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2F" w14:textId="77777777" w:rsidR="00761055" w:rsidRPr="00761055" w:rsidRDefault="00761055">
            <w:pPr>
              <w:jc w:val="right"/>
              <w:rPr>
                <w:rFonts w:cstheme="minorHAnsi"/>
                <w:color w:val="000000"/>
                <w:sz w:val="18"/>
                <w:szCs w:val="18"/>
              </w:rPr>
            </w:pPr>
            <w:r w:rsidRPr="00761055">
              <w:rPr>
                <w:rFonts w:cstheme="minorHAnsi"/>
                <w:color w:val="000000"/>
                <w:sz w:val="18"/>
                <w:szCs w:val="18"/>
              </w:rPr>
              <w:t>9,0%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30" w14:textId="77777777" w:rsidR="00761055" w:rsidRPr="00761055" w:rsidRDefault="00761055">
            <w:pPr>
              <w:jc w:val="right"/>
              <w:rPr>
                <w:rFonts w:cstheme="minorHAnsi"/>
                <w:color w:val="000000"/>
                <w:sz w:val="18"/>
                <w:szCs w:val="18"/>
              </w:rPr>
            </w:pPr>
            <w:r w:rsidRPr="00761055">
              <w:rPr>
                <w:rFonts w:cstheme="minorHAnsi"/>
                <w:color w:val="000000"/>
                <w:sz w:val="18"/>
                <w:szCs w:val="18"/>
              </w:rPr>
              <w:t>6,3%</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31" w14:textId="77777777" w:rsidR="00761055" w:rsidRPr="00761055" w:rsidRDefault="00761055">
            <w:pPr>
              <w:jc w:val="right"/>
              <w:rPr>
                <w:rFonts w:cstheme="minorHAnsi"/>
                <w:color w:val="000000"/>
                <w:sz w:val="18"/>
                <w:szCs w:val="18"/>
              </w:rPr>
            </w:pPr>
            <w:r w:rsidRPr="00761055">
              <w:rPr>
                <w:rFonts w:cstheme="minorHAnsi"/>
                <w:color w:val="000000"/>
                <w:sz w:val="18"/>
                <w:szCs w:val="18"/>
              </w:rPr>
              <w:t>6,0%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32" w14:textId="77777777" w:rsidR="00761055" w:rsidRPr="00761055" w:rsidRDefault="00761055">
            <w:pPr>
              <w:jc w:val="right"/>
              <w:rPr>
                <w:rFonts w:cstheme="minorHAnsi"/>
                <w:color w:val="000000"/>
                <w:sz w:val="18"/>
                <w:szCs w:val="18"/>
              </w:rPr>
            </w:pPr>
            <w:r w:rsidRPr="00761055">
              <w:rPr>
                <w:rFonts w:cstheme="minorHAnsi"/>
                <w:color w:val="000000"/>
                <w:sz w:val="18"/>
                <w:szCs w:val="18"/>
              </w:rPr>
              <w:t>1,0%</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33" w14:textId="77777777" w:rsidR="00761055" w:rsidRPr="00761055" w:rsidRDefault="00761055">
            <w:pPr>
              <w:jc w:val="right"/>
              <w:rPr>
                <w:rFonts w:cstheme="minorHAnsi"/>
                <w:color w:val="000000"/>
                <w:sz w:val="18"/>
                <w:szCs w:val="18"/>
              </w:rPr>
            </w:pPr>
            <w:r w:rsidRPr="00761055">
              <w:rPr>
                <w:rFonts w:cstheme="minorHAnsi"/>
                <w:color w:val="000000"/>
                <w:sz w:val="18"/>
                <w:szCs w:val="18"/>
              </w:rPr>
              <w:t>0,7%</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34" w14:textId="77777777" w:rsidR="00761055" w:rsidRPr="00761055" w:rsidRDefault="00761055">
            <w:pPr>
              <w:jc w:val="right"/>
              <w:rPr>
                <w:rFonts w:cstheme="minorHAnsi"/>
                <w:color w:val="000000"/>
                <w:sz w:val="18"/>
                <w:szCs w:val="18"/>
              </w:rPr>
            </w:pPr>
            <w:r w:rsidRPr="00761055">
              <w:rPr>
                <w:rFonts w:cstheme="minorHAnsi"/>
                <w:color w:val="000000"/>
                <w:sz w:val="18"/>
                <w:szCs w:val="18"/>
              </w:rPr>
              <w:t>112,0%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35" w14:textId="77777777" w:rsidR="00761055" w:rsidRPr="00761055" w:rsidRDefault="00761055">
            <w:pPr>
              <w:jc w:val="right"/>
              <w:rPr>
                <w:rFonts w:cstheme="minorHAnsi"/>
                <w:color w:val="000000"/>
                <w:sz w:val="18"/>
                <w:szCs w:val="18"/>
              </w:rPr>
            </w:pPr>
            <w:r w:rsidRPr="00761055">
              <w:rPr>
                <w:rFonts w:cstheme="minorHAnsi"/>
                <w:color w:val="000000"/>
                <w:sz w:val="18"/>
                <w:szCs w:val="18"/>
              </w:rPr>
              <w:t>109,0%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36" w14:textId="77777777" w:rsidR="00761055" w:rsidRPr="00761055" w:rsidRDefault="00761055">
            <w:pPr>
              <w:jc w:val="right"/>
              <w:rPr>
                <w:rFonts w:cstheme="minorHAnsi"/>
                <w:color w:val="000000"/>
                <w:sz w:val="18"/>
                <w:szCs w:val="18"/>
              </w:rPr>
            </w:pPr>
            <w:r w:rsidRPr="00761055">
              <w:rPr>
                <w:rFonts w:cstheme="minorHAnsi"/>
                <w:color w:val="000000"/>
                <w:sz w:val="18"/>
                <w:szCs w:val="18"/>
              </w:rPr>
              <w:t>106,8%</w:t>
            </w:r>
          </w:p>
        </w:tc>
      </w:tr>
      <w:tr w:rsidR="007A2E50" w:rsidRPr="00761055" w14:paraId="569F1E4B" w14:textId="77777777" w:rsidTr="002F33BC">
        <w:trPr>
          <w:trHeight w:val="402"/>
        </w:trPr>
        <w:tc>
          <w:tcPr>
            <w:tcW w:w="2024" w:type="dxa"/>
            <w:tcBorders>
              <w:top w:val="nil"/>
              <w:left w:val="nil"/>
              <w:bottom w:val="nil"/>
              <w:right w:val="nil"/>
            </w:tcBorders>
            <w:shd w:val="clear" w:color="auto" w:fill="auto"/>
            <w:noWrap/>
            <w:vAlign w:val="bottom"/>
            <w:hideMark/>
          </w:tcPr>
          <w:p w14:paraId="569F1E38"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Binnenmaas</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39" w14:textId="77777777" w:rsidR="00761055" w:rsidRPr="00761055" w:rsidRDefault="00761055">
            <w:pPr>
              <w:jc w:val="right"/>
              <w:rPr>
                <w:rFonts w:cstheme="minorHAnsi"/>
                <w:color w:val="000000"/>
                <w:sz w:val="18"/>
                <w:szCs w:val="18"/>
              </w:rPr>
            </w:pPr>
            <w:r w:rsidRPr="00761055">
              <w:rPr>
                <w:rFonts w:cstheme="minorHAnsi"/>
                <w:color w:val="000000"/>
                <w:sz w:val="18"/>
                <w:szCs w:val="18"/>
              </w:rPr>
              <w:t>35,5%</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3A" w14:textId="77777777" w:rsidR="00761055" w:rsidRPr="00761055" w:rsidRDefault="00761055">
            <w:pPr>
              <w:jc w:val="right"/>
              <w:rPr>
                <w:rFonts w:cstheme="minorHAnsi"/>
                <w:color w:val="000000"/>
                <w:sz w:val="18"/>
                <w:szCs w:val="18"/>
              </w:rPr>
            </w:pPr>
            <w:r w:rsidRPr="00761055">
              <w:rPr>
                <w:rFonts w:cstheme="minorHAnsi"/>
                <w:color w:val="000000"/>
                <w:sz w:val="18"/>
                <w:szCs w:val="18"/>
              </w:rPr>
              <w:t>38,6%</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3B" w14:textId="77777777" w:rsidR="00761055" w:rsidRPr="00761055" w:rsidRDefault="00761055">
            <w:pPr>
              <w:jc w:val="right"/>
              <w:rPr>
                <w:rFonts w:cstheme="minorHAnsi"/>
                <w:color w:val="000000"/>
                <w:sz w:val="18"/>
                <w:szCs w:val="18"/>
              </w:rPr>
            </w:pPr>
            <w:r w:rsidRPr="00761055">
              <w:rPr>
                <w:rFonts w:cstheme="minorHAnsi"/>
                <w:color w:val="000000"/>
                <w:sz w:val="18"/>
                <w:szCs w:val="18"/>
              </w:rPr>
              <w:t>41,2%</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3C" w14:textId="77777777" w:rsidR="00761055" w:rsidRPr="00761055" w:rsidRDefault="00761055">
            <w:pPr>
              <w:jc w:val="right"/>
              <w:rPr>
                <w:rFonts w:cstheme="minorHAnsi"/>
                <w:color w:val="000000"/>
                <w:sz w:val="18"/>
                <w:szCs w:val="18"/>
              </w:rPr>
            </w:pPr>
            <w:r w:rsidRPr="00761055">
              <w:rPr>
                <w:rFonts w:cstheme="minorHAnsi"/>
                <w:color w:val="000000"/>
                <w:sz w:val="18"/>
                <w:szCs w:val="18"/>
              </w:rPr>
              <w:t>25,0%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3D" w14:textId="77777777" w:rsidR="00761055" w:rsidRPr="00761055" w:rsidRDefault="00761055">
            <w:pPr>
              <w:jc w:val="right"/>
              <w:rPr>
                <w:rFonts w:cstheme="minorHAnsi"/>
                <w:color w:val="000000"/>
                <w:sz w:val="18"/>
                <w:szCs w:val="18"/>
              </w:rPr>
            </w:pPr>
            <w:r w:rsidRPr="00761055">
              <w:rPr>
                <w:rFonts w:cstheme="minorHAnsi"/>
                <w:color w:val="000000"/>
                <w:sz w:val="18"/>
                <w:szCs w:val="18"/>
              </w:rPr>
              <w:t>28,8%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3E" w14:textId="77777777" w:rsidR="00761055" w:rsidRPr="00761055" w:rsidRDefault="00761055">
            <w:pPr>
              <w:jc w:val="right"/>
              <w:rPr>
                <w:rFonts w:cstheme="minorHAnsi"/>
                <w:color w:val="000000"/>
                <w:sz w:val="18"/>
                <w:szCs w:val="18"/>
              </w:rPr>
            </w:pPr>
            <w:r w:rsidRPr="00761055">
              <w:rPr>
                <w:rFonts w:cstheme="minorHAnsi"/>
                <w:color w:val="000000"/>
                <w:sz w:val="18"/>
                <w:szCs w:val="18"/>
              </w:rPr>
              <w:t>31,4%</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3F" w14:textId="77777777" w:rsidR="00761055" w:rsidRPr="00761055" w:rsidRDefault="00761055">
            <w:pPr>
              <w:jc w:val="right"/>
              <w:rPr>
                <w:rFonts w:cstheme="minorHAnsi"/>
                <w:color w:val="000000"/>
                <w:sz w:val="18"/>
                <w:szCs w:val="18"/>
              </w:rPr>
            </w:pPr>
            <w:r w:rsidRPr="00761055">
              <w:rPr>
                <w:rFonts w:cstheme="minorHAnsi"/>
                <w:color w:val="000000"/>
                <w:sz w:val="18"/>
                <w:szCs w:val="18"/>
              </w:rPr>
              <w:t>58,6%</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40" w14:textId="77777777" w:rsidR="00761055" w:rsidRPr="00761055" w:rsidRDefault="00761055">
            <w:pPr>
              <w:jc w:val="right"/>
              <w:rPr>
                <w:rFonts w:cstheme="minorHAnsi"/>
                <w:color w:val="000000"/>
                <w:sz w:val="18"/>
                <w:szCs w:val="18"/>
              </w:rPr>
            </w:pPr>
            <w:r w:rsidRPr="00761055">
              <w:rPr>
                <w:rFonts w:cstheme="minorHAnsi"/>
                <w:color w:val="000000"/>
                <w:sz w:val="18"/>
                <w:szCs w:val="18"/>
              </w:rPr>
              <w:t>51,0%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41" w14:textId="77777777" w:rsidR="00761055" w:rsidRPr="00761055" w:rsidRDefault="00761055">
            <w:pPr>
              <w:jc w:val="right"/>
              <w:rPr>
                <w:rFonts w:cstheme="minorHAnsi"/>
                <w:color w:val="000000"/>
                <w:sz w:val="18"/>
                <w:szCs w:val="18"/>
              </w:rPr>
            </w:pPr>
            <w:r w:rsidRPr="00761055">
              <w:rPr>
                <w:rFonts w:cstheme="minorHAnsi"/>
                <w:color w:val="000000"/>
                <w:sz w:val="18"/>
                <w:szCs w:val="18"/>
              </w:rPr>
              <w:t>51,3%</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42" w14:textId="77777777" w:rsidR="00761055" w:rsidRPr="00761055" w:rsidRDefault="00761055">
            <w:pPr>
              <w:jc w:val="right"/>
              <w:rPr>
                <w:rFonts w:cstheme="minorHAnsi"/>
                <w:color w:val="000000"/>
                <w:sz w:val="18"/>
                <w:szCs w:val="18"/>
              </w:rPr>
            </w:pPr>
            <w:r w:rsidRPr="00761055">
              <w:rPr>
                <w:rFonts w:cstheme="minorHAnsi"/>
                <w:color w:val="000000"/>
                <w:sz w:val="18"/>
                <w:szCs w:val="18"/>
              </w:rPr>
              <w:t>17,7%</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43" w14:textId="77777777" w:rsidR="00761055" w:rsidRPr="00761055" w:rsidRDefault="00761055">
            <w:pPr>
              <w:jc w:val="right"/>
              <w:rPr>
                <w:rFonts w:cstheme="minorHAnsi"/>
                <w:color w:val="000000"/>
                <w:sz w:val="18"/>
                <w:szCs w:val="18"/>
              </w:rPr>
            </w:pPr>
            <w:r w:rsidRPr="00761055">
              <w:rPr>
                <w:rFonts w:cstheme="minorHAnsi"/>
                <w:color w:val="000000"/>
                <w:sz w:val="18"/>
                <w:szCs w:val="18"/>
              </w:rPr>
              <w:t>21,2%</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44" w14:textId="77777777" w:rsidR="00761055" w:rsidRPr="00761055" w:rsidRDefault="00761055">
            <w:pPr>
              <w:jc w:val="right"/>
              <w:rPr>
                <w:rFonts w:cstheme="minorHAnsi"/>
                <w:color w:val="000000"/>
                <w:sz w:val="18"/>
                <w:szCs w:val="18"/>
              </w:rPr>
            </w:pPr>
            <w:r w:rsidRPr="00761055">
              <w:rPr>
                <w:rFonts w:cstheme="minorHAnsi"/>
                <w:color w:val="000000"/>
                <w:sz w:val="18"/>
                <w:szCs w:val="18"/>
              </w:rPr>
              <w:t>17,9%</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45" w14:textId="77777777" w:rsidR="00761055" w:rsidRPr="00761055" w:rsidRDefault="00761055">
            <w:pPr>
              <w:jc w:val="right"/>
              <w:rPr>
                <w:rFonts w:cstheme="minorHAnsi"/>
                <w:color w:val="000000"/>
                <w:sz w:val="18"/>
                <w:szCs w:val="18"/>
              </w:rPr>
            </w:pPr>
            <w:r w:rsidRPr="00761055">
              <w:rPr>
                <w:rFonts w:cstheme="minorHAnsi"/>
                <w:color w:val="000000"/>
                <w:sz w:val="18"/>
                <w:szCs w:val="18"/>
              </w:rPr>
              <w:t>6,5%</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46" w14:textId="77777777" w:rsidR="00761055" w:rsidRPr="00761055" w:rsidRDefault="00761055">
            <w:pPr>
              <w:jc w:val="right"/>
              <w:rPr>
                <w:rFonts w:cstheme="minorHAnsi"/>
                <w:color w:val="000000"/>
                <w:sz w:val="18"/>
                <w:szCs w:val="18"/>
              </w:rPr>
            </w:pPr>
            <w:r w:rsidRPr="00761055">
              <w:rPr>
                <w:rFonts w:cstheme="minorHAnsi"/>
                <w:color w:val="000000"/>
                <w:sz w:val="18"/>
                <w:szCs w:val="18"/>
              </w:rPr>
              <w:t>-1,6%</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47" w14:textId="77777777" w:rsidR="00761055" w:rsidRPr="00761055" w:rsidRDefault="00761055">
            <w:pPr>
              <w:jc w:val="right"/>
              <w:rPr>
                <w:rFonts w:cstheme="minorHAnsi"/>
                <w:color w:val="000000"/>
                <w:sz w:val="18"/>
                <w:szCs w:val="18"/>
              </w:rPr>
            </w:pPr>
            <w:r w:rsidRPr="00761055">
              <w:rPr>
                <w:rFonts w:cstheme="minorHAnsi"/>
                <w:color w:val="000000"/>
                <w:sz w:val="18"/>
                <w:szCs w:val="18"/>
              </w:rPr>
              <w:t>0,2%</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48" w14:textId="77777777" w:rsidR="00761055" w:rsidRPr="00761055" w:rsidRDefault="00761055">
            <w:pPr>
              <w:jc w:val="right"/>
              <w:rPr>
                <w:rFonts w:cstheme="minorHAnsi"/>
                <w:color w:val="000000"/>
                <w:sz w:val="18"/>
                <w:szCs w:val="18"/>
              </w:rPr>
            </w:pPr>
            <w:r w:rsidRPr="00761055">
              <w:rPr>
                <w:rFonts w:cstheme="minorHAnsi"/>
                <w:color w:val="000000"/>
                <w:sz w:val="18"/>
                <w:szCs w:val="18"/>
              </w:rPr>
              <w:t>89,1%</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49" w14:textId="77777777" w:rsidR="00761055" w:rsidRPr="00761055" w:rsidRDefault="00761055">
            <w:pPr>
              <w:jc w:val="right"/>
              <w:rPr>
                <w:rFonts w:cstheme="minorHAnsi"/>
                <w:color w:val="000000"/>
                <w:sz w:val="18"/>
                <w:szCs w:val="18"/>
              </w:rPr>
            </w:pPr>
            <w:r w:rsidRPr="00761055">
              <w:rPr>
                <w:rFonts w:cstheme="minorHAnsi"/>
                <w:color w:val="000000"/>
                <w:sz w:val="18"/>
                <w:szCs w:val="18"/>
              </w:rPr>
              <w:t>89,8%</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4A" w14:textId="77777777" w:rsidR="00761055" w:rsidRPr="00761055" w:rsidRDefault="00761055">
            <w:pPr>
              <w:jc w:val="right"/>
              <w:rPr>
                <w:rFonts w:cstheme="minorHAnsi"/>
                <w:color w:val="000000"/>
                <w:sz w:val="18"/>
                <w:szCs w:val="18"/>
              </w:rPr>
            </w:pPr>
            <w:r w:rsidRPr="00761055">
              <w:rPr>
                <w:rFonts w:cstheme="minorHAnsi"/>
                <w:color w:val="000000"/>
                <w:sz w:val="18"/>
                <w:szCs w:val="18"/>
              </w:rPr>
              <w:t>83,2%</w:t>
            </w:r>
          </w:p>
        </w:tc>
      </w:tr>
      <w:tr w:rsidR="007A2E50" w:rsidRPr="00761055" w14:paraId="569F1E5F" w14:textId="77777777" w:rsidTr="002F33BC">
        <w:trPr>
          <w:trHeight w:val="402"/>
        </w:trPr>
        <w:tc>
          <w:tcPr>
            <w:tcW w:w="2024" w:type="dxa"/>
            <w:tcBorders>
              <w:top w:val="nil"/>
              <w:left w:val="nil"/>
              <w:bottom w:val="nil"/>
              <w:right w:val="nil"/>
            </w:tcBorders>
            <w:shd w:val="clear" w:color="auto" w:fill="auto"/>
            <w:noWrap/>
            <w:vAlign w:val="bottom"/>
            <w:hideMark/>
          </w:tcPr>
          <w:p w14:paraId="569F1E4C"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Bodegraven-Reeuwijk</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4D" w14:textId="77777777" w:rsidR="00761055" w:rsidRPr="00761055" w:rsidRDefault="00761055">
            <w:pPr>
              <w:jc w:val="right"/>
              <w:rPr>
                <w:rFonts w:cstheme="minorHAnsi"/>
                <w:color w:val="000000"/>
                <w:sz w:val="18"/>
                <w:szCs w:val="18"/>
              </w:rPr>
            </w:pPr>
            <w:r w:rsidRPr="00761055">
              <w:rPr>
                <w:rFonts w:cstheme="minorHAnsi"/>
                <w:color w:val="000000"/>
                <w:sz w:val="18"/>
                <w:szCs w:val="18"/>
              </w:rPr>
              <w:t>168,9%</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4E" w14:textId="77777777" w:rsidR="00761055" w:rsidRPr="00761055" w:rsidRDefault="00761055">
            <w:pPr>
              <w:jc w:val="right"/>
              <w:rPr>
                <w:rFonts w:cstheme="minorHAnsi"/>
                <w:color w:val="000000"/>
                <w:sz w:val="18"/>
                <w:szCs w:val="18"/>
              </w:rPr>
            </w:pPr>
            <w:r w:rsidRPr="00761055">
              <w:rPr>
                <w:rFonts w:cstheme="minorHAnsi"/>
                <w:color w:val="000000"/>
                <w:sz w:val="18"/>
                <w:szCs w:val="18"/>
              </w:rPr>
              <w:t>204,3%</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4F" w14:textId="77777777" w:rsidR="00761055" w:rsidRPr="00761055" w:rsidRDefault="00761055">
            <w:pPr>
              <w:jc w:val="right"/>
              <w:rPr>
                <w:rFonts w:cstheme="minorHAnsi"/>
                <w:color w:val="000000"/>
                <w:sz w:val="18"/>
                <w:szCs w:val="18"/>
              </w:rPr>
            </w:pPr>
            <w:r w:rsidRPr="00761055">
              <w:rPr>
                <w:rFonts w:cstheme="minorHAnsi"/>
                <w:color w:val="000000"/>
                <w:sz w:val="18"/>
                <w:szCs w:val="18"/>
              </w:rPr>
              <w:t>216,1%</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50" w14:textId="77777777" w:rsidR="00761055" w:rsidRPr="00761055" w:rsidRDefault="00761055">
            <w:pPr>
              <w:jc w:val="right"/>
              <w:rPr>
                <w:rFonts w:cstheme="minorHAnsi"/>
                <w:color w:val="000000"/>
                <w:sz w:val="18"/>
                <w:szCs w:val="18"/>
              </w:rPr>
            </w:pPr>
            <w:r w:rsidRPr="00761055">
              <w:rPr>
                <w:rFonts w:cstheme="minorHAnsi"/>
                <w:color w:val="000000"/>
                <w:sz w:val="18"/>
                <w:szCs w:val="18"/>
              </w:rPr>
              <w:t>164,0%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51" w14:textId="77777777" w:rsidR="00761055" w:rsidRPr="00761055" w:rsidRDefault="00761055">
            <w:pPr>
              <w:jc w:val="right"/>
              <w:rPr>
                <w:rFonts w:cstheme="minorHAnsi"/>
                <w:color w:val="000000"/>
                <w:sz w:val="18"/>
                <w:szCs w:val="18"/>
              </w:rPr>
            </w:pPr>
            <w:r w:rsidRPr="00761055">
              <w:rPr>
                <w:rFonts w:cstheme="minorHAnsi"/>
                <w:color w:val="000000"/>
                <w:sz w:val="18"/>
                <w:szCs w:val="18"/>
              </w:rPr>
              <w:t>198,9%</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52" w14:textId="77777777" w:rsidR="00761055" w:rsidRPr="00761055" w:rsidRDefault="00761055">
            <w:pPr>
              <w:jc w:val="right"/>
              <w:rPr>
                <w:rFonts w:cstheme="minorHAnsi"/>
                <w:color w:val="000000"/>
                <w:sz w:val="18"/>
                <w:szCs w:val="18"/>
              </w:rPr>
            </w:pPr>
            <w:r w:rsidRPr="00761055">
              <w:rPr>
                <w:rFonts w:cstheme="minorHAnsi"/>
                <w:color w:val="000000"/>
                <w:sz w:val="18"/>
                <w:szCs w:val="18"/>
              </w:rPr>
              <w:t>214,1%</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53" w14:textId="77777777" w:rsidR="00761055" w:rsidRPr="00761055" w:rsidRDefault="00761055">
            <w:pPr>
              <w:jc w:val="right"/>
              <w:rPr>
                <w:rFonts w:cstheme="minorHAnsi"/>
                <w:color w:val="000000"/>
                <w:sz w:val="18"/>
                <w:szCs w:val="18"/>
              </w:rPr>
            </w:pPr>
            <w:r w:rsidRPr="00761055">
              <w:rPr>
                <w:rFonts w:cstheme="minorHAnsi"/>
                <w:color w:val="000000"/>
                <w:sz w:val="18"/>
                <w:szCs w:val="18"/>
              </w:rPr>
              <w:t>-1,7%</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54" w14:textId="77777777" w:rsidR="00761055" w:rsidRPr="00761055" w:rsidRDefault="00761055">
            <w:pPr>
              <w:jc w:val="right"/>
              <w:rPr>
                <w:rFonts w:cstheme="minorHAnsi"/>
                <w:color w:val="000000"/>
                <w:sz w:val="18"/>
                <w:szCs w:val="18"/>
              </w:rPr>
            </w:pPr>
            <w:r w:rsidRPr="00761055">
              <w:rPr>
                <w:rFonts w:cstheme="minorHAnsi"/>
                <w:color w:val="000000"/>
                <w:sz w:val="18"/>
                <w:szCs w:val="18"/>
              </w:rPr>
              <w:t>-1,7%</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55" w14:textId="77777777" w:rsidR="00761055" w:rsidRPr="00761055" w:rsidRDefault="00761055">
            <w:pPr>
              <w:jc w:val="right"/>
              <w:rPr>
                <w:rFonts w:cstheme="minorHAnsi"/>
                <w:color w:val="000000"/>
                <w:sz w:val="18"/>
                <w:szCs w:val="18"/>
              </w:rPr>
            </w:pPr>
            <w:r w:rsidRPr="00761055">
              <w:rPr>
                <w:rFonts w:cstheme="minorHAnsi"/>
                <w:color w:val="000000"/>
                <w:sz w:val="18"/>
                <w:szCs w:val="18"/>
              </w:rPr>
              <w:t>-1,0%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56" w14:textId="77777777" w:rsidR="00761055" w:rsidRPr="00761055" w:rsidRDefault="00761055">
            <w:pPr>
              <w:jc w:val="right"/>
              <w:rPr>
                <w:rFonts w:cstheme="minorHAnsi"/>
                <w:color w:val="000000"/>
                <w:sz w:val="18"/>
                <w:szCs w:val="18"/>
              </w:rPr>
            </w:pPr>
            <w:r w:rsidRPr="00761055">
              <w:rPr>
                <w:rFonts w:cstheme="minorHAnsi"/>
                <w:color w:val="000000"/>
                <w:sz w:val="18"/>
                <w:szCs w:val="18"/>
              </w:rPr>
              <w:t>32,2%</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57" w14:textId="77777777" w:rsidR="00761055" w:rsidRPr="00761055" w:rsidRDefault="00761055">
            <w:pPr>
              <w:jc w:val="right"/>
              <w:rPr>
                <w:rFonts w:cstheme="minorHAnsi"/>
                <w:color w:val="000000"/>
                <w:sz w:val="18"/>
                <w:szCs w:val="18"/>
              </w:rPr>
            </w:pPr>
            <w:r w:rsidRPr="00761055">
              <w:rPr>
                <w:rFonts w:cstheme="minorHAnsi"/>
                <w:color w:val="000000"/>
                <w:sz w:val="18"/>
                <w:szCs w:val="18"/>
              </w:rPr>
              <w:t>35,1%</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58" w14:textId="77777777" w:rsidR="00761055" w:rsidRPr="00761055" w:rsidRDefault="00761055">
            <w:pPr>
              <w:jc w:val="right"/>
              <w:rPr>
                <w:rFonts w:cstheme="minorHAnsi"/>
                <w:color w:val="000000"/>
                <w:sz w:val="18"/>
                <w:szCs w:val="18"/>
              </w:rPr>
            </w:pPr>
            <w:r w:rsidRPr="00761055">
              <w:rPr>
                <w:rFonts w:cstheme="minorHAnsi"/>
                <w:color w:val="000000"/>
                <w:sz w:val="18"/>
                <w:szCs w:val="18"/>
              </w:rPr>
              <w:t>35,2%</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59" w14:textId="77777777" w:rsidR="00761055" w:rsidRPr="00761055" w:rsidRDefault="00761055">
            <w:pPr>
              <w:jc w:val="right"/>
              <w:rPr>
                <w:rFonts w:cstheme="minorHAnsi"/>
                <w:color w:val="000000"/>
                <w:sz w:val="18"/>
                <w:szCs w:val="18"/>
              </w:rPr>
            </w:pPr>
            <w:r w:rsidRPr="00761055">
              <w:rPr>
                <w:rFonts w:cstheme="minorHAnsi"/>
                <w:color w:val="000000"/>
                <w:sz w:val="18"/>
                <w:szCs w:val="18"/>
              </w:rPr>
              <w:t>-3,7%</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5A" w14:textId="77777777" w:rsidR="00761055" w:rsidRPr="00761055" w:rsidRDefault="00761055">
            <w:pPr>
              <w:jc w:val="right"/>
              <w:rPr>
                <w:rFonts w:cstheme="minorHAnsi"/>
                <w:color w:val="000000"/>
                <w:sz w:val="18"/>
                <w:szCs w:val="18"/>
              </w:rPr>
            </w:pPr>
            <w:r w:rsidRPr="00761055">
              <w:rPr>
                <w:rFonts w:cstheme="minorHAnsi"/>
                <w:color w:val="000000"/>
                <w:sz w:val="18"/>
                <w:szCs w:val="18"/>
              </w:rPr>
              <w:t>1,0%</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5B" w14:textId="77777777" w:rsidR="00761055" w:rsidRPr="00761055" w:rsidRDefault="00761055">
            <w:pPr>
              <w:jc w:val="right"/>
              <w:rPr>
                <w:rFonts w:cstheme="minorHAnsi"/>
                <w:color w:val="000000"/>
                <w:sz w:val="18"/>
                <w:szCs w:val="18"/>
              </w:rPr>
            </w:pPr>
            <w:r w:rsidRPr="00761055">
              <w:rPr>
                <w:rFonts w:cstheme="minorHAnsi"/>
                <w:color w:val="000000"/>
                <w:sz w:val="18"/>
                <w:szCs w:val="18"/>
              </w:rPr>
              <w:t>2,7%</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5C" w14:textId="77777777" w:rsidR="00761055" w:rsidRPr="00761055" w:rsidRDefault="00761055">
            <w:pPr>
              <w:jc w:val="right"/>
              <w:rPr>
                <w:rFonts w:cstheme="minorHAnsi"/>
                <w:color w:val="000000"/>
                <w:sz w:val="18"/>
                <w:szCs w:val="18"/>
              </w:rPr>
            </w:pPr>
            <w:r w:rsidRPr="00761055">
              <w:rPr>
                <w:rFonts w:cstheme="minorHAnsi"/>
                <w:color w:val="000000"/>
                <w:sz w:val="18"/>
                <w:szCs w:val="18"/>
              </w:rPr>
              <w:t>142,7%</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5D" w14:textId="77777777" w:rsidR="00761055" w:rsidRPr="00761055" w:rsidRDefault="00761055">
            <w:pPr>
              <w:jc w:val="right"/>
              <w:rPr>
                <w:rFonts w:cstheme="minorHAnsi"/>
                <w:color w:val="000000"/>
                <w:sz w:val="18"/>
                <w:szCs w:val="18"/>
              </w:rPr>
            </w:pPr>
            <w:r w:rsidRPr="00761055">
              <w:rPr>
                <w:rFonts w:cstheme="minorHAnsi"/>
                <w:color w:val="000000"/>
                <w:sz w:val="18"/>
                <w:szCs w:val="18"/>
              </w:rPr>
              <w:t>147,3%</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5E" w14:textId="77777777" w:rsidR="00761055" w:rsidRPr="00761055" w:rsidRDefault="00761055">
            <w:pPr>
              <w:jc w:val="right"/>
              <w:rPr>
                <w:rFonts w:cstheme="minorHAnsi"/>
                <w:color w:val="000000"/>
                <w:sz w:val="18"/>
                <w:szCs w:val="18"/>
              </w:rPr>
            </w:pPr>
            <w:r w:rsidRPr="00761055">
              <w:rPr>
                <w:rFonts w:cstheme="minorHAnsi"/>
                <w:color w:val="000000"/>
                <w:sz w:val="18"/>
                <w:szCs w:val="18"/>
              </w:rPr>
              <w:t>134,6%</w:t>
            </w:r>
          </w:p>
        </w:tc>
      </w:tr>
      <w:tr w:rsidR="007A2E50" w:rsidRPr="00761055" w14:paraId="569F1E73" w14:textId="77777777" w:rsidTr="002F33BC">
        <w:trPr>
          <w:trHeight w:val="402"/>
        </w:trPr>
        <w:tc>
          <w:tcPr>
            <w:tcW w:w="2024" w:type="dxa"/>
            <w:tcBorders>
              <w:top w:val="nil"/>
              <w:left w:val="nil"/>
              <w:bottom w:val="nil"/>
              <w:right w:val="nil"/>
            </w:tcBorders>
            <w:shd w:val="clear" w:color="auto" w:fill="auto"/>
            <w:noWrap/>
            <w:vAlign w:val="bottom"/>
            <w:hideMark/>
          </w:tcPr>
          <w:p w14:paraId="569F1E60"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Brielle</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61" w14:textId="77777777" w:rsidR="00761055" w:rsidRPr="00761055" w:rsidRDefault="00761055">
            <w:pPr>
              <w:jc w:val="right"/>
              <w:rPr>
                <w:rFonts w:cstheme="minorHAnsi"/>
                <w:color w:val="000000"/>
                <w:sz w:val="18"/>
                <w:szCs w:val="18"/>
              </w:rPr>
            </w:pPr>
            <w:r w:rsidRPr="00761055">
              <w:rPr>
                <w:rFonts w:cstheme="minorHAnsi"/>
                <w:color w:val="000000"/>
                <w:sz w:val="18"/>
                <w:szCs w:val="18"/>
              </w:rPr>
              <w:t>-31,5%</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62" w14:textId="77777777" w:rsidR="00761055" w:rsidRPr="00761055" w:rsidRDefault="00761055">
            <w:pPr>
              <w:jc w:val="right"/>
              <w:rPr>
                <w:rFonts w:cstheme="minorHAnsi"/>
                <w:color w:val="000000"/>
                <w:sz w:val="18"/>
                <w:szCs w:val="18"/>
              </w:rPr>
            </w:pPr>
            <w:r w:rsidRPr="00761055">
              <w:rPr>
                <w:rFonts w:cstheme="minorHAnsi"/>
                <w:color w:val="000000"/>
                <w:sz w:val="18"/>
                <w:szCs w:val="18"/>
              </w:rPr>
              <w:t>-14,2%</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63" w14:textId="77777777" w:rsidR="00761055" w:rsidRPr="00761055" w:rsidRDefault="00761055">
            <w:pPr>
              <w:jc w:val="right"/>
              <w:rPr>
                <w:rFonts w:cstheme="minorHAnsi"/>
                <w:color w:val="000000"/>
                <w:sz w:val="18"/>
                <w:szCs w:val="18"/>
              </w:rPr>
            </w:pPr>
            <w:r w:rsidRPr="00761055">
              <w:rPr>
                <w:rFonts w:cstheme="minorHAnsi"/>
                <w:color w:val="000000"/>
                <w:sz w:val="18"/>
                <w:szCs w:val="18"/>
              </w:rPr>
              <w:t>-17,3%</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64" w14:textId="77777777" w:rsidR="00761055" w:rsidRPr="00761055" w:rsidRDefault="00761055">
            <w:pPr>
              <w:jc w:val="right"/>
              <w:rPr>
                <w:rFonts w:cstheme="minorHAnsi"/>
                <w:color w:val="000000"/>
                <w:sz w:val="18"/>
                <w:szCs w:val="18"/>
              </w:rPr>
            </w:pPr>
            <w:r w:rsidRPr="00761055">
              <w:rPr>
                <w:rFonts w:cstheme="minorHAnsi"/>
                <w:color w:val="000000"/>
                <w:sz w:val="18"/>
                <w:szCs w:val="18"/>
              </w:rPr>
              <w:t>-31,5%</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65" w14:textId="77777777" w:rsidR="00761055" w:rsidRPr="00761055" w:rsidRDefault="00761055">
            <w:pPr>
              <w:jc w:val="right"/>
              <w:rPr>
                <w:rFonts w:cstheme="minorHAnsi"/>
                <w:color w:val="000000"/>
                <w:sz w:val="18"/>
                <w:szCs w:val="18"/>
              </w:rPr>
            </w:pPr>
            <w:r w:rsidRPr="00761055">
              <w:rPr>
                <w:rFonts w:cstheme="minorHAnsi"/>
                <w:color w:val="000000"/>
                <w:sz w:val="18"/>
                <w:szCs w:val="18"/>
              </w:rPr>
              <w:t>-14,2%</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66" w14:textId="77777777" w:rsidR="00761055" w:rsidRPr="00761055" w:rsidRDefault="00761055">
            <w:pPr>
              <w:jc w:val="right"/>
              <w:rPr>
                <w:rFonts w:cstheme="minorHAnsi"/>
                <w:color w:val="000000"/>
                <w:sz w:val="18"/>
                <w:szCs w:val="18"/>
              </w:rPr>
            </w:pPr>
            <w:r w:rsidRPr="00761055">
              <w:rPr>
                <w:rFonts w:cstheme="minorHAnsi"/>
                <w:color w:val="000000"/>
                <w:sz w:val="18"/>
                <w:szCs w:val="18"/>
              </w:rPr>
              <w:t>-17,3%</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67" w14:textId="77777777" w:rsidR="00761055" w:rsidRPr="00761055" w:rsidRDefault="00761055">
            <w:pPr>
              <w:jc w:val="right"/>
              <w:rPr>
                <w:rFonts w:cstheme="minorHAnsi"/>
                <w:color w:val="000000"/>
                <w:sz w:val="18"/>
                <w:szCs w:val="18"/>
              </w:rPr>
            </w:pPr>
            <w:r w:rsidRPr="00761055">
              <w:rPr>
                <w:rFonts w:cstheme="minorHAnsi"/>
                <w:color w:val="000000"/>
                <w:sz w:val="18"/>
                <w:szCs w:val="18"/>
              </w:rPr>
              <w:t>73,8%</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68" w14:textId="77777777" w:rsidR="00761055" w:rsidRPr="00761055" w:rsidRDefault="00761055">
            <w:pPr>
              <w:jc w:val="right"/>
              <w:rPr>
                <w:rFonts w:cstheme="minorHAnsi"/>
                <w:color w:val="000000"/>
                <w:sz w:val="18"/>
                <w:szCs w:val="18"/>
              </w:rPr>
            </w:pPr>
            <w:r w:rsidRPr="00761055">
              <w:rPr>
                <w:rFonts w:cstheme="minorHAnsi"/>
                <w:color w:val="000000"/>
                <w:sz w:val="18"/>
                <w:szCs w:val="18"/>
              </w:rPr>
              <w:t>68,6%</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69" w14:textId="77777777" w:rsidR="00761055" w:rsidRPr="00761055" w:rsidRDefault="00761055">
            <w:pPr>
              <w:jc w:val="right"/>
              <w:rPr>
                <w:rFonts w:cstheme="minorHAnsi"/>
                <w:color w:val="000000"/>
                <w:sz w:val="18"/>
                <w:szCs w:val="18"/>
              </w:rPr>
            </w:pPr>
            <w:r w:rsidRPr="00761055">
              <w:rPr>
                <w:rFonts w:cstheme="minorHAnsi"/>
                <w:color w:val="000000"/>
                <w:sz w:val="18"/>
                <w:szCs w:val="18"/>
              </w:rPr>
              <w:t>93,2%</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6A" w14:textId="77777777" w:rsidR="00761055" w:rsidRPr="00761055" w:rsidRDefault="00761055">
            <w:pPr>
              <w:jc w:val="right"/>
              <w:rPr>
                <w:rFonts w:cstheme="minorHAnsi"/>
                <w:color w:val="000000"/>
                <w:sz w:val="18"/>
                <w:szCs w:val="18"/>
              </w:rPr>
            </w:pPr>
            <w:r w:rsidRPr="00761055">
              <w:rPr>
                <w:rFonts w:cstheme="minorHAnsi"/>
                <w:color w:val="000000"/>
                <w:sz w:val="18"/>
                <w:szCs w:val="18"/>
              </w:rPr>
              <w:t>501,0%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6B" w14:textId="77777777" w:rsidR="00761055" w:rsidRPr="00761055" w:rsidRDefault="00761055">
            <w:pPr>
              <w:jc w:val="right"/>
              <w:rPr>
                <w:rFonts w:cstheme="minorHAnsi"/>
                <w:color w:val="000000"/>
                <w:sz w:val="18"/>
                <w:szCs w:val="18"/>
              </w:rPr>
            </w:pPr>
            <w:r w:rsidRPr="00761055">
              <w:rPr>
                <w:rFonts w:cstheme="minorHAnsi"/>
                <w:color w:val="000000"/>
                <w:sz w:val="18"/>
                <w:szCs w:val="18"/>
              </w:rPr>
              <w:t>95,0%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6C" w14:textId="77777777" w:rsidR="00761055" w:rsidRPr="00761055" w:rsidRDefault="00761055">
            <w:pPr>
              <w:jc w:val="right"/>
              <w:rPr>
                <w:rFonts w:cstheme="minorHAnsi"/>
                <w:color w:val="000000"/>
                <w:sz w:val="18"/>
                <w:szCs w:val="18"/>
              </w:rPr>
            </w:pPr>
            <w:r w:rsidRPr="00761055">
              <w:rPr>
                <w:rFonts w:cstheme="minorHAnsi"/>
                <w:color w:val="000000"/>
                <w:sz w:val="18"/>
                <w:szCs w:val="18"/>
              </w:rPr>
              <w:t>874,0%</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6D" w14:textId="77777777" w:rsidR="00761055" w:rsidRPr="00761055" w:rsidRDefault="00761055">
            <w:pPr>
              <w:jc w:val="right"/>
              <w:rPr>
                <w:rFonts w:cstheme="minorHAnsi"/>
                <w:color w:val="000000"/>
                <w:sz w:val="18"/>
                <w:szCs w:val="18"/>
              </w:rPr>
            </w:pPr>
            <w:r w:rsidRPr="00761055">
              <w:rPr>
                <w:rFonts w:cstheme="minorHAnsi"/>
                <w:color w:val="000000"/>
                <w:sz w:val="18"/>
                <w:szCs w:val="18"/>
              </w:rPr>
              <w:t>-8,5%</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6E" w14:textId="77777777" w:rsidR="00761055" w:rsidRPr="00761055" w:rsidRDefault="00761055">
            <w:pPr>
              <w:jc w:val="right"/>
              <w:rPr>
                <w:rFonts w:cstheme="minorHAnsi"/>
                <w:color w:val="000000"/>
                <w:sz w:val="18"/>
                <w:szCs w:val="18"/>
              </w:rPr>
            </w:pPr>
            <w:r w:rsidRPr="00761055">
              <w:rPr>
                <w:rFonts w:cstheme="minorHAnsi"/>
                <w:color w:val="000000"/>
                <w:sz w:val="18"/>
                <w:szCs w:val="18"/>
              </w:rPr>
              <w:t>0,0%</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6F" w14:textId="77777777" w:rsidR="00761055" w:rsidRPr="00761055" w:rsidRDefault="00761055">
            <w:pPr>
              <w:jc w:val="right"/>
              <w:rPr>
                <w:rFonts w:cstheme="minorHAnsi"/>
                <w:color w:val="000000"/>
                <w:sz w:val="18"/>
                <w:szCs w:val="18"/>
              </w:rPr>
            </w:pPr>
            <w:r w:rsidRPr="00761055">
              <w:rPr>
                <w:rFonts w:cstheme="minorHAnsi"/>
                <w:color w:val="000000"/>
                <w:sz w:val="18"/>
                <w:szCs w:val="18"/>
              </w:rPr>
              <w:t>0,2%</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70"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71"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72" w14:textId="77777777" w:rsidR="00761055" w:rsidRPr="00761055" w:rsidRDefault="00761055">
            <w:pPr>
              <w:jc w:val="right"/>
              <w:rPr>
                <w:rFonts w:cstheme="minorHAnsi"/>
                <w:color w:val="000000"/>
                <w:sz w:val="18"/>
                <w:szCs w:val="18"/>
              </w:rPr>
            </w:pPr>
            <w:r w:rsidRPr="00761055">
              <w:rPr>
                <w:rFonts w:cstheme="minorHAnsi"/>
                <w:color w:val="000000"/>
                <w:sz w:val="18"/>
                <w:szCs w:val="18"/>
              </w:rPr>
              <w:t>84,7%</w:t>
            </w:r>
          </w:p>
        </w:tc>
      </w:tr>
      <w:tr w:rsidR="007A2E50" w:rsidRPr="00761055" w14:paraId="569F1E87" w14:textId="77777777" w:rsidTr="002F33BC">
        <w:trPr>
          <w:trHeight w:val="402"/>
        </w:trPr>
        <w:tc>
          <w:tcPr>
            <w:tcW w:w="2024" w:type="dxa"/>
            <w:tcBorders>
              <w:top w:val="nil"/>
              <w:left w:val="nil"/>
              <w:bottom w:val="nil"/>
              <w:right w:val="nil"/>
            </w:tcBorders>
            <w:shd w:val="clear" w:color="auto" w:fill="auto"/>
            <w:noWrap/>
            <w:vAlign w:val="bottom"/>
            <w:hideMark/>
          </w:tcPr>
          <w:p w14:paraId="569F1E74"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 xml:space="preserve">Capelle </w:t>
            </w:r>
            <w:proofErr w:type="spellStart"/>
            <w:r w:rsidRPr="00761055">
              <w:rPr>
                <w:rFonts w:eastAsia="Times New Roman" w:cstheme="minorHAnsi"/>
                <w:color w:val="000000"/>
                <w:sz w:val="18"/>
                <w:szCs w:val="18"/>
              </w:rPr>
              <w:t>a.d.</w:t>
            </w:r>
            <w:proofErr w:type="spellEnd"/>
            <w:r w:rsidRPr="00761055">
              <w:rPr>
                <w:rFonts w:eastAsia="Times New Roman" w:cstheme="minorHAnsi"/>
                <w:color w:val="000000"/>
                <w:sz w:val="18"/>
                <w:szCs w:val="18"/>
              </w:rPr>
              <w:t xml:space="preserve"> IJssel</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75"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76"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77" w14:textId="77777777" w:rsidR="00761055" w:rsidRPr="00761055" w:rsidRDefault="00761055">
            <w:pPr>
              <w:jc w:val="right"/>
              <w:rPr>
                <w:rFonts w:cstheme="minorHAnsi"/>
                <w:color w:val="000000"/>
                <w:sz w:val="18"/>
                <w:szCs w:val="18"/>
              </w:rPr>
            </w:pPr>
            <w:r w:rsidRPr="00761055">
              <w:rPr>
                <w:rFonts w:cstheme="minorHAnsi"/>
                <w:color w:val="000000"/>
                <w:sz w:val="18"/>
                <w:szCs w:val="18"/>
              </w:rPr>
              <w:t>34,0%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78"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79"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7A" w14:textId="77777777" w:rsidR="00761055" w:rsidRPr="00761055" w:rsidRDefault="00761055">
            <w:pPr>
              <w:jc w:val="right"/>
              <w:rPr>
                <w:rFonts w:cstheme="minorHAnsi"/>
                <w:color w:val="000000"/>
                <w:sz w:val="18"/>
                <w:szCs w:val="18"/>
              </w:rPr>
            </w:pPr>
            <w:r w:rsidRPr="00761055">
              <w:rPr>
                <w:rFonts w:cstheme="minorHAnsi"/>
                <w:color w:val="000000"/>
                <w:sz w:val="18"/>
                <w:szCs w:val="18"/>
              </w:rPr>
              <w:t>37,0%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7B"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7C"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7D" w14:textId="77777777" w:rsidR="00761055" w:rsidRPr="00761055" w:rsidRDefault="00761055">
            <w:pPr>
              <w:jc w:val="right"/>
              <w:rPr>
                <w:rFonts w:cstheme="minorHAnsi"/>
                <w:color w:val="000000"/>
                <w:sz w:val="18"/>
                <w:szCs w:val="18"/>
              </w:rPr>
            </w:pPr>
            <w:r w:rsidRPr="00761055">
              <w:rPr>
                <w:rFonts w:cstheme="minorHAnsi"/>
                <w:color w:val="000000"/>
                <w:sz w:val="18"/>
                <w:szCs w:val="18"/>
              </w:rPr>
              <w:t>35,0%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7E"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7F"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80" w14:textId="77777777" w:rsidR="00761055" w:rsidRPr="00761055" w:rsidRDefault="00761055">
            <w:pPr>
              <w:jc w:val="right"/>
              <w:rPr>
                <w:rFonts w:cstheme="minorHAnsi"/>
                <w:color w:val="000000"/>
                <w:sz w:val="18"/>
                <w:szCs w:val="18"/>
              </w:rPr>
            </w:pPr>
            <w:r w:rsidRPr="00761055">
              <w:rPr>
                <w:rFonts w:cstheme="minorHAnsi"/>
                <w:color w:val="000000"/>
                <w:sz w:val="18"/>
                <w:szCs w:val="18"/>
              </w:rPr>
              <w:t>-1,0%</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81"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82"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83" w14:textId="77777777" w:rsidR="00761055" w:rsidRPr="00761055" w:rsidRDefault="00761055">
            <w:pPr>
              <w:jc w:val="right"/>
              <w:rPr>
                <w:rFonts w:cstheme="minorHAnsi"/>
                <w:color w:val="000000"/>
                <w:sz w:val="18"/>
                <w:szCs w:val="18"/>
              </w:rPr>
            </w:pPr>
            <w:r w:rsidRPr="00761055">
              <w:rPr>
                <w:rFonts w:cstheme="minorHAnsi"/>
                <w:color w:val="000000"/>
                <w:sz w:val="18"/>
                <w:szCs w:val="18"/>
              </w:rPr>
              <w:t>-2,0%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84"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E85" w14:textId="77777777" w:rsidR="00761055" w:rsidRPr="00761055" w:rsidRDefault="00761055">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86" w14:textId="77777777" w:rsidR="00761055" w:rsidRPr="00761055" w:rsidRDefault="00761055">
            <w:pPr>
              <w:jc w:val="right"/>
              <w:rPr>
                <w:rFonts w:cstheme="minorHAnsi"/>
                <w:color w:val="000000"/>
                <w:sz w:val="18"/>
                <w:szCs w:val="18"/>
              </w:rPr>
            </w:pPr>
            <w:r w:rsidRPr="00761055">
              <w:rPr>
                <w:rFonts w:cstheme="minorHAnsi"/>
                <w:color w:val="000000"/>
                <w:sz w:val="18"/>
                <w:szCs w:val="18"/>
              </w:rPr>
              <w:t>88,0%</w:t>
            </w:r>
          </w:p>
        </w:tc>
      </w:tr>
      <w:tr w:rsidR="007A2E50" w:rsidRPr="00761055" w14:paraId="569F1E9B" w14:textId="77777777" w:rsidTr="002F33BC">
        <w:trPr>
          <w:trHeight w:val="402"/>
        </w:trPr>
        <w:tc>
          <w:tcPr>
            <w:tcW w:w="2024" w:type="dxa"/>
            <w:tcBorders>
              <w:top w:val="nil"/>
              <w:left w:val="nil"/>
              <w:bottom w:val="nil"/>
              <w:right w:val="nil"/>
            </w:tcBorders>
            <w:shd w:val="clear" w:color="auto" w:fill="auto"/>
            <w:noWrap/>
            <w:vAlign w:val="bottom"/>
            <w:hideMark/>
          </w:tcPr>
          <w:p w14:paraId="569F1E88"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Cromstrijen</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89" w14:textId="77777777" w:rsidR="00761055" w:rsidRPr="00761055" w:rsidRDefault="00761055">
            <w:pPr>
              <w:jc w:val="right"/>
              <w:rPr>
                <w:rFonts w:cstheme="minorHAnsi"/>
                <w:color w:val="000000"/>
                <w:sz w:val="18"/>
                <w:szCs w:val="18"/>
              </w:rPr>
            </w:pPr>
            <w:r w:rsidRPr="00761055">
              <w:rPr>
                <w:rFonts w:cstheme="minorHAnsi"/>
                <w:color w:val="000000"/>
                <w:sz w:val="18"/>
                <w:szCs w:val="18"/>
              </w:rPr>
              <w:t>14,0%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8A" w14:textId="77777777" w:rsidR="00761055" w:rsidRPr="00761055" w:rsidRDefault="00761055">
            <w:pPr>
              <w:jc w:val="right"/>
              <w:rPr>
                <w:rFonts w:cstheme="minorHAnsi"/>
                <w:color w:val="000000"/>
                <w:sz w:val="18"/>
                <w:szCs w:val="18"/>
              </w:rPr>
            </w:pPr>
            <w:r w:rsidRPr="00761055">
              <w:rPr>
                <w:rFonts w:cstheme="minorHAnsi"/>
                <w:color w:val="000000"/>
                <w:sz w:val="18"/>
                <w:szCs w:val="18"/>
              </w:rPr>
              <w:t>9,0%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8B" w14:textId="77777777" w:rsidR="00761055" w:rsidRPr="00761055" w:rsidRDefault="00761055">
            <w:pPr>
              <w:jc w:val="right"/>
              <w:rPr>
                <w:rFonts w:cstheme="minorHAnsi"/>
                <w:color w:val="000000"/>
                <w:sz w:val="18"/>
                <w:szCs w:val="18"/>
              </w:rPr>
            </w:pPr>
            <w:r w:rsidRPr="00761055">
              <w:rPr>
                <w:rFonts w:cstheme="minorHAnsi"/>
                <w:color w:val="000000"/>
                <w:sz w:val="18"/>
                <w:szCs w:val="18"/>
              </w:rPr>
              <w:t>6,0%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8C" w14:textId="77777777" w:rsidR="00761055" w:rsidRPr="00761055" w:rsidRDefault="00761055">
            <w:pPr>
              <w:jc w:val="right"/>
              <w:rPr>
                <w:rFonts w:cstheme="minorHAnsi"/>
                <w:color w:val="000000"/>
                <w:sz w:val="18"/>
                <w:szCs w:val="18"/>
              </w:rPr>
            </w:pPr>
            <w:r w:rsidRPr="00761055">
              <w:rPr>
                <w:rFonts w:cstheme="minorHAnsi"/>
                <w:color w:val="000000"/>
                <w:sz w:val="18"/>
                <w:szCs w:val="18"/>
              </w:rPr>
              <w:t>14,0%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8D" w14:textId="77777777" w:rsidR="00761055" w:rsidRPr="00761055" w:rsidRDefault="00761055">
            <w:pPr>
              <w:jc w:val="right"/>
              <w:rPr>
                <w:rFonts w:cstheme="minorHAnsi"/>
                <w:color w:val="000000"/>
                <w:sz w:val="18"/>
                <w:szCs w:val="18"/>
              </w:rPr>
            </w:pPr>
            <w:r w:rsidRPr="00761055">
              <w:rPr>
                <w:rFonts w:cstheme="minorHAnsi"/>
                <w:color w:val="000000"/>
                <w:sz w:val="18"/>
                <w:szCs w:val="18"/>
              </w:rPr>
              <w:t>9,0%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8E" w14:textId="77777777" w:rsidR="00761055" w:rsidRPr="00761055" w:rsidRDefault="00761055">
            <w:pPr>
              <w:jc w:val="right"/>
              <w:rPr>
                <w:rFonts w:cstheme="minorHAnsi"/>
                <w:color w:val="000000"/>
                <w:sz w:val="18"/>
                <w:szCs w:val="18"/>
              </w:rPr>
            </w:pPr>
            <w:r w:rsidRPr="00761055">
              <w:rPr>
                <w:rFonts w:cstheme="minorHAnsi"/>
                <w:color w:val="000000"/>
                <w:sz w:val="18"/>
                <w:szCs w:val="18"/>
              </w:rPr>
              <w:t>6,0%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8F" w14:textId="77777777" w:rsidR="00761055" w:rsidRPr="00761055" w:rsidRDefault="00761055">
            <w:pPr>
              <w:jc w:val="right"/>
              <w:rPr>
                <w:rFonts w:cstheme="minorHAnsi"/>
                <w:color w:val="000000"/>
                <w:sz w:val="18"/>
                <w:szCs w:val="18"/>
              </w:rPr>
            </w:pPr>
            <w:r w:rsidRPr="00761055">
              <w:rPr>
                <w:rFonts w:cstheme="minorHAnsi"/>
                <w:color w:val="000000"/>
                <w:sz w:val="18"/>
                <w:szCs w:val="18"/>
              </w:rPr>
              <w:t>53,0%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90" w14:textId="77777777" w:rsidR="00761055" w:rsidRPr="00761055" w:rsidRDefault="00761055">
            <w:pPr>
              <w:jc w:val="right"/>
              <w:rPr>
                <w:rFonts w:cstheme="minorHAnsi"/>
                <w:color w:val="000000"/>
                <w:sz w:val="18"/>
                <w:szCs w:val="18"/>
              </w:rPr>
            </w:pPr>
            <w:r w:rsidRPr="00761055">
              <w:rPr>
                <w:rFonts w:cstheme="minorHAnsi"/>
                <w:color w:val="000000"/>
                <w:sz w:val="18"/>
                <w:szCs w:val="18"/>
              </w:rPr>
              <w:t>53,0%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91" w14:textId="77777777" w:rsidR="00761055" w:rsidRPr="00761055" w:rsidRDefault="00761055">
            <w:pPr>
              <w:jc w:val="right"/>
              <w:rPr>
                <w:rFonts w:cstheme="minorHAnsi"/>
                <w:color w:val="000000"/>
                <w:sz w:val="18"/>
                <w:szCs w:val="18"/>
              </w:rPr>
            </w:pPr>
            <w:r w:rsidRPr="00761055">
              <w:rPr>
                <w:rFonts w:cstheme="minorHAnsi"/>
                <w:color w:val="000000"/>
                <w:sz w:val="18"/>
                <w:szCs w:val="18"/>
              </w:rPr>
              <w:t>55,0%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92" w14:textId="77777777" w:rsidR="00761055" w:rsidRPr="00761055" w:rsidRDefault="00761055">
            <w:pPr>
              <w:jc w:val="right"/>
              <w:rPr>
                <w:rFonts w:cstheme="minorHAnsi"/>
                <w:color w:val="000000"/>
                <w:sz w:val="18"/>
                <w:szCs w:val="18"/>
              </w:rPr>
            </w:pPr>
            <w:r w:rsidRPr="00761055">
              <w:rPr>
                <w:rFonts w:cstheme="minorHAnsi"/>
                <w:color w:val="000000"/>
                <w:sz w:val="18"/>
                <w:szCs w:val="18"/>
              </w:rPr>
              <w:t>0,0%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93" w14:textId="77777777" w:rsidR="00761055" w:rsidRPr="00761055" w:rsidRDefault="00761055">
            <w:pPr>
              <w:jc w:val="right"/>
              <w:rPr>
                <w:rFonts w:cstheme="minorHAnsi"/>
                <w:color w:val="000000"/>
                <w:sz w:val="18"/>
                <w:szCs w:val="18"/>
              </w:rPr>
            </w:pPr>
            <w:r w:rsidRPr="00761055">
              <w:rPr>
                <w:rFonts w:cstheme="minorHAnsi"/>
                <w:color w:val="000000"/>
                <w:sz w:val="18"/>
                <w:szCs w:val="18"/>
              </w:rPr>
              <w:t>0,0%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94" w14:textId="77777777" w:rsidR="00761055" w:rsidRPr="00761055" w:rsidRDefault="00761055">
            <w:pPr>
              <w:jc w:val="right"/>
              <w:rPr>
                <w:rFonts w:cstheme="minorHAnsi"/>
                <w:color w:val="000000"/>
                <w:sz w:val="18"/>
                <w:szCs w:val="18"/>
              </w:rPr>
            </w:pPr>
            <w:r w:rsidRPr="00761055">
              <w:rPr>
                <w:rFonts w:cstheme="minorHAnsi"/>
                <w:color w:val="000000"/>
                <w:sz w:val="18"/>
                <w:szCs w:val="18"/>
              </w:rPr>
              <w:t>0,0%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95" w14:textId="77777777" w:rsidR="00761055" w:rsidRPr="00761055" w:rsidRDefault="00761055">
            <w:pPr>
              <w:jc w:val="right"/>
              <w:rPr>
                <w:rFonts w:cstheme="minorHAnsi"/>
                <w:color w:val="000000"/>
                <w:sz w:val="18"/>
                <w:szCs w:val="18"/>
              </w:rPr>
            </w:pPr>
            <w:r w:rsidRPr="00761055">
              <w:rPr>
                <w:rFonts w:cstheme="minorHAnsi"/>
                <w:color w:val="000000"/>
                <w:sz w:val="18"/>
                <w:szCs w:val="18"/>
              </w:rPr>
              <w:t>4,0%</w:t>
            </w:r>
          </w:p>
        </w:tc>
        <w:tc>
          <w:tcPr>
            <w:tcW w:w="64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96" w14:textId="77777777" w:rsidR="00761055" w:rsidRPr="00761055" w:rsidRDefault="00761055">
            <w:pPr>
              <w:jc w:val="right"/>
              <w:rPr>
                <w:rFonts w:cstheme="minorHAnsi"/>
                <w:color w:val="000000"/>
                <w:sz w:val="18"/>
                <w:szCs w:val="18"/>
              </w:rPr>
            </w:pPr>
            <w:r w:rsidRPr="00761055">
              <w:rPr>
                <w:rFonts w:cstheme="minorHAnsi"/>
                <w:color w:val="000000"/>
                <w:sz w:val="18"/>
                <w:szCs w:val="18"/>
              </w:rPr>
              <w:t>0,0%</w:t>
            </w:r>
          </w:p>
        </w:tc>
        <w:tc>
          <w:tcPr>
            <w:tcW w:w="5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97" w14:textId="77777777" w:rsidR="00761055" w:rsidRPr="00761055" w:rsidRDefault="00761055">
            <w:pPr>
              <w:jc w:val="right"/>
              <w:rPr>
                <w:rFonts w:cstheme="minorHAnsi"/>
                <w:color w:val="000000"/>
                <w:sz w:val="18"/>
                <w:szCs w:val="18"/>
              </w:rPr>
            </w:pPr>
            <w:r w:rsidRPr="00761055">
              <w:rPr>
                <w:rFonts w:cstheme="minorHAnsi"/>
                <w:color w:val="000000"/>
                <w:sz w:val="18"/>
                <w:szCs w:val="18"/>
              </w:rPr>
              <w:t>0,0%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98" w14:textId="77777777" w:rsidR="00761055" w:rsidRPr="00761055" w:rsidRDefault="00761055">
            <w:pPr>
              <w:jc w:val="right"/>
              <w:rPr>
                <w:rFonts w:cstheme="minorHAnsi"/>
                <w:color w:val="000000"/>
                <w:sz w:val="18"/>
                <w:szCs w:val="18"/>
              </w:rPr>
            </w:pPr>
            <w:r w:rsidRPr="00761055">
              <w:rPr>
                <w:rFonts w:cstheme="minorHAnsi"/>
                <w:color w:val="000000"/>
                <w:sz w:val="18"/>
                <w:szCs w:val="18"/>
              </w:rPr>
              <w:t>89,0%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99" w14:textId="77777777" w:rsidR="00761055" w:rsidRPr="00761055" w:rsidRDefault="00761055">
            <w:pPr>
              <w:jc w:val="right"/>
              <w:rPr>
                <w:rFonts w:cstheme="minorHAnsi"/>
                <w:color w:val="000000"/>
                <w:sz w:val="18"/>
                <w:szCs w:val="18"/>
              </w:rPr>
            </w:pPr>
            <w:r w:rsidRPr="00761055">
              <w:rPr>
                <w:rFonts w:cstheme="minorHAnsi"/>
                <w:color w:val="000000"/>
                <w:sz w:val="18"/>
                <w:szCs w:val="18"/>
              </w:rPr>
              <w:t>89,0%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9A" w14:textId="77777777" w:rsidR="00761055" w:rsidRPr="00761055" w:rsidRDefault="00761055">
            <w:pPr>
              <w:jc w:val="right"/>
              <w:rPr>
                <w:rFonts w:cstheme="minorHAnsi"/>
                <w:color w:val="000000"/>
                <w:sz w:val="18"/>
                <w:szCs w:val="18"/>
              </w:rPr>
            </w:pPr>
            <w:r w:rsidRPr="00761055">
              <w:rPr>
                <w:rFonts w:cstheme="minorHAnsi"/>
                <w:color w:val="000000"/>
                <w:sz w:val="18"/>
                <w:szCs w:val="18"/>
              </w:rPr>
              <w:t>88,0%</w:t>
            </w:r>
          </w:p>
        </w:tc>
      </w:tr>
      <w:tr w:rsidR="007A2E50" w:rsidRPr="00761055" w14:paraId="569F1EAF" w14:textId="77777777" w:rsidTr="002F33BC">
        <w:trPr>
          <w:trHeight w:val="402"/>
        </w:trPr>
        <w:tc>
          <w:tcPr>
            <w:tcW w:w="2024" w:type="dxa"/>
            <w:tcBorders>
              <w:top w:val="nil"/>
              <w:left w:val="nil"/>
              <w:bottom w:val="nil"/>
              <w:right w:val="nil"/>
            </w:tcBorders>
            <w:shd w:val="clear" w:color="auto" w:fill="auto"/>
            <w:noWrap/>
            <w:vAlign w:val="bottom"/>
            <w:hideMark/>
          </w:tcPr>
          <w:p w14:paraId="569F1E9C"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Delft</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9D" w14:textId="77777777" w:rsidR="00761055" w:rsidRPr="00761055" w:rsidRDefault="00761055">
            <w:pPr>
              <w:jc w:val="right"/>
              <w:rPr>
                <w:rFonts w:cstheme="minorHAnsi"/>
                <w:color w:val="000000"/>
                <w:sz w:val="18"/>
                <w:szCs w:val="18"/>
              </w:rPr>
            </w:pPr>
            <w:r w:rsidRPr="00761055">
              <w:rPr>
                <w:rFonts w:cstheme="minorHAnsi"/>
                <w:color w:val="000000"/>
                <w:sz w:val="18"/>
                <w:szCs w:val="18"/>
              </w:rPr>
              <w:t>119,5%</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9E" w14:textId="77777777" w:rsidR="00761055" w:rsidRPr="00761055" w:rsidRDefault="00761055">
            <w:pPr>
              <w:jc w:val="right"/>
              <w:rPr>
                <w:rFonts w:cstheme="minorHAnsi"/>
                <w:color w:val="000000"/>
                <w:sz w:val="18"/>
                <w:szCs w:val="18"/>
              </w:rPr>
            </w:pPr>
            <w:r w:rsidRPr="00761055">
              <w:rPr>
                <w:rFonts w:cstheme="minorHAnsi"/>
                <w:color w:val="000000"/>
                <w:sz w:val="18"/>
                <w:szCs w:val="18"/>
              </w:rPr>
              <w:t>116,9%</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9F" w14:textId="77777777" w:rsidR="00761055" w:rsidRPr="00761055" w:rsidRDefault="00761055">
            <w:pPr>
              <w:jc w:val="right"/>
              <w:rPr>
                <w:rFonts w:cstheme="minorHAnsi"/>
                <w:color w:val="000000"/>
                <w:sz w:val="18"/>
                <w:szCs w:val="18"/>
              </w:rPr>
            </w:pPr>
            <w:r w:rsidRPr="00761055">
              <w:rPr>
                <w:rFonts w:cstheme="minorHAnsi"/>
                <w:color w:val="000000"/>
                <w:sz w:val="18"/>
                <w:szCs w:val="18"/>
              </w:rPr>
              <w:t>124,3%</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A0" w14:textId="77777777" w:rsidR="00761055" w:rsidRPr="00761055" w:rsidRDefault="00761055">
            <w:pPr>
              <w:jc w:val="right"/>
              <w:rPr>
                <w:rFonts w:cstheme="minorHAnsi"/>
                <w:color w:val="000000"/>
                <w:sz w:val="18"/>
                <w:szCs w:val="18"/>
              </w:rPr>
            </w:pPr>
            <w:r w:rsidRPr="00761055">
              <w:rPr>
                <w:rFonts w:cstheme="minorHAnsi"/>
                <w:color w:val="000000"/>
                <w:sz w:val="18"/>
                <w:szCs w:val="18"/>
              </w:rPr>
              <w:t>92,5%</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A1" w14:textId="77777777" w:rsidR="00761055" w:rsidRPr="00761055" w:rsidRDefault="00761055">
            <w:pPr>
              <w:jc w:val="right"/>
              <w:rPr>
                <w:rFonts w:cstheme="minorHAnsi"/>
                <w:color w:val="000000"/>
                <w:sz w:val="18"/>
                <w:szCs w:val="18"/>
              </w:rPr>
            </w:pPr>
            <w:r w:rsidRPr="00761055">
              <w:rPr>
                <w:rFonts w:cstheme="minorHAnsi"/>
                <w:color w:val="000000"/>
                <w:sz w:val="18"/>
                <w:szCs w:val="18"/>
              </w:rPr>
              <w:t>93,9%</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A2" w14:textId="77777777" w:rsidR="00761055" w:rsidRPr="00761055" w:rsidRDefault="00761055">
            <w:pPr>
              <w:jc w:val="right"/>
              <w:rPr>
                <w:rFonts w:cstheme="minorHAnsi"/>
                <w:color w:val="000000"/>
                <w:sz w:val="18"/>
                <w:szCs w:val="18"/>
              </w:rPr>
            </w:pPr>
            <w:r w:rsidRPr="00761055">
              <w:rPr>
                <w:rFonts w:cstheme="minorHAnsi"/>
                <w:color w:val="000000"/>
                <w:sz w:val="18"/>
                <w:szCs w:val="18"/>
              </w:rPr>
              <w:t>102,2%</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A3" w14:textId="77777777" w:rsidR="00761055" w:rsidRPr="00761055" w:rsidRDefault="00761055">
            <w:pPr>
              <w:jc w:val="right"/>
              <w:rPr>
                <w:rFonts w:cstheme="minorHAnsi"/>
                <w:color w:val="000000"/>
                <w:sz w:val="18"/>
                <w:szCs w:val="18"/>
              </w:rPr>
            </w:pPr>
            <w:r w:rsidRPr="00761055">
              <w:rPr>
                <w:rFonts w:cstheme="minorHAnsi"/>
                <w:color w:val="000000"/>
                <w:sz w:val="18"/>
                <w:szCs w:val="18"/>
              </w:rPr>
              <w:t>2,6%</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A4" w14:textId="77777777" w:rsidR="00761055" w:rsidRPr="00761055" w:rsidRDefault="00761055">
            <w:pPr>
              <w:jc w:val="right"/>
              <w:rPr>
                <w:rFonts w:cstheme="minorHAnsi"/>
                <w:color w:val="000000"/>
                <w:sz w:val="18"/>
                <w:szCs w:val="18"/>
              </w:rPr>
            </w:pPr>
            <w:r w:rsidRPr="00761055">
              <w:rPr>
                <w:rFonts w:cstheme="minorHAnsi"/>
                <w:color w:val="000000"/>
                <w:sz w:val="18"/>
                <w:szCs w:val="18"/>
              </w:rPr>
              <w:t>13,6%</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A5" w14:textId="77777777" w:rsidR="00761055" w:rsidRPr="00761055" w:rsidRDefault="00761055">
            <w:pPr>
              <w:jc w:val="right"/>
              <w:rPr>
                <w:rFonts w:cstheme="minorHAnsi"/>
                <w:color w:val="000000"/>
                <w:sz w:val="18"/>
                <w:szCs w:val="18"/>
              </w:rPr>
            </w:pPr>
            <w:r w:rsidRPr="00761055">
              <w:rPr>
                <w:rFonts w:cstheme="minorHAnsi"/>
                <w:color w:val="000000"/>
                <w:sz w:val="18"/>
                <w:szCs w:val="18"/>
              </w:rPr>
              <w:t>12,8%</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A6" w14:textId="77777777" w:rsidR="00761055" w:rsidRPr="00761055" w:rsidRDefault="00761055">
            <w:pPr>
              <w:jc w:val="right"/>
              <w:rPr>
                <w:rFonts w:cstheme="minorHAnsi"/>
                <w:color w:val="000000"/>
                <w:sz w:val="18"/>
                <w:szCs w:val="18"/>
              </w:rPr>
            </w:pPr>
            <w:r w:rsidRPr="00761055">
              <w:rPr>
                <w:rFonts w:cstheme="minorHAnsi"/>
                <w:color w:val="000000"/>
                <w:sz w:val="18"/>
                <w:szCs w:val="18"/>
              </w:rPr>
              <w:t>7,2%</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A7" w14:textId="77777777" w:rsidR="00761055" w:rsidRPr="00761055" w:rsidRDefault="00761055">
            <w:pPr>
              <w:jc w:val="right"/>
              <w:rPr>
                <w:rFonts w:cstheme="minorHAnsi"/>
                <w:color w:val="000000"/>
                <w:sz w:val="18"/>
                <w:szCs w:val="18"/>
              </w:rPr>
            </w:pPr>
            <w:r w:rsidRPr="00761055">
              <w:rPr>
                <w:rFonts w:cstheme="minorHAnsi"/>
                <w:color w:val="000000"/>
                <w:sz w:val="18"/>
                <w:szCs w:val="18"/>
              </w:rPr>
              <w:t>7,0%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A8" w14:textId="77777777" w:rsidR="00761055" w:rsidRPr="00761055" w:rsidRDefault="00761055">
            <w:pPr>
              <w:jc w:val="right"/>
              <w:rPr>
                <w:rFonts w:cstheme="minorHAnsi"/>
                <w:color w:val="000000"/>
                <w:sz w:val="18"/>
                <w:szCs w:val="18"/>
              </w:rPr>
            </w:pPr>
            <w:r w:rsidRPr="00761055">
              <w:rPr>
                <w:rFonts w:cstheme="minorHAnsi"/>
                <w:color w:val="000000"/>
                <w:sz w:val="18"/>
                <w:szCs w:val="18"/>
              </w:rPr>
              <w:t>6,8%</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A9" w14:textId="77777777" w:rsidR="00761055" w:rsidRPr="00761055" w:rsidRDefault="00761055">
            <w:pPr>
              <w:jc w:val="right"/>
              <w:rPr>
                <w:rFonts w:cstheme="minorHAnsi"/>
                <w:color w:val="000000"/>
                <w:sz w:val="18"/>
                <w:szCs w:val="18"/>
              </w:rPr>
            </w:pPr>
            <w:r w:rsidRPr="00761055">
              <w:rPr>
                <w:rFonts w:cstheme="minorHAnsi"/>
                <w:color w:val="000000"/>
                <w:sz w:val="18"/>
                <w:szCs w:val="18"/>
              </w:rPr>
              <w:t>5,0%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AA" w14:textId="77777777" w:rsidR="00761055" w:rsidRPr="00761055" w:rsidRDefault="00761055">
            <w:pPr>
              <w:jc w:val="right"/>
              <w:rPr>
                <w:rFonts w:cstheme="minorHAnsi"/>
                <w:color w:val="000000"/>
                <w:sz w:val="18"/>
                <w:szCs w:val="18"/>
              </w:rPr>
            </w:pPr>
            <w:r w:rsidRPr="00761055">
              <w:rPr>
                <w:rFonts w:cstheme="minorHAnsi"/>
                <w:color w:val="000000"/>
                <w:sz w:val="18"/>
                <w:szCs w:val="18"/>
              </w:rPr>
              <w:t>2,1%</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AB" w14:textId="77777777" w:rsidR="00761055" w:rsidRPr="00761055" w:rsidRDefault="00761055">
            <w:pPr>
              <w:jc w:val="right"/>
              <w:rPr>
                <w:rFonts w:cstheme="minorHAnsi"/>
                <w:color w:val="000000"/>
                <w:sz w:val="18"/>
                <w:szCs w:val="18"/>
              </w:rPr>
            </w:pPr>
            <w:r w:rsidRPr="00761055">
              <w:rPr>
                <w:rFonts w:cstheme="minorHAnsi"/>
                <w:color w:val="000000"/>
                <w:sz w:val="18"/>
                <w:szCs w:val="18"/>
              </w:rPr>
              <w:t>2,3%</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AC" w14:textId="77777777" w:rsidR="00761055" w:rsidRPr="00761055" w:rsidRDefault="00761055">
            <w:pPr>
              <w:jc w:val="right"/>
              <w:rPr>
                <w:rFonts w:cstheme="minorHAnsi"/>
                <w:color w:val="000000"/>
                <w:sz w:val="18"/>
                <w:szCs w:val="18"/>
              </w:rPr>
            </w:pPr>
            <w:r w:rsidRPr="00761055">
              <w:rPr>
                <w:rFonts w:cstheme="minorHAnsi"/>
                <w:color w:val="000000"/>
                <w:sz w:val="18"/>
                <w:szCs w:val="18"/>
              </w:rPr>
              <w:t>112,0%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AD" w14:textId="77777777" w:rsidR="00761055" w:rsidRPr="00761055" w:rsidRDefault="00761055">
            <w:pPr>
              <w:jc w:val="right"/>
              <w:rPr>
                <w:rFonts w:cstheme="minorHAnsi"/>
                <w:color w:val="000000"/>
                <w:sz w:val="18"/>
                <w:szCs w:val="18"/>
              </w:rPr>
            </w:pPr>
            <w:r w:rsidRPr="00761055">
              <w:rPr>
                <w:rFonts w:cstheme="minorHAnsi"/>
                <w:color w:val="000000"/>
                <w:sz w:val="18"/>
                <w:szCs w:val="18"/>
              </w:rPr>
              <w:t>114,0%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AE" w14:textId="77777777" w:rsidR="00761055" w:rsidRPr="00761055" w:rsidRDefault="00761055">
            <w:pPr>
              <w:jc w:val="right"/>
              <w:rPr>
                <w:rFonts w:cstheme="minorHAnsi"/>
                <w:color w:val="000000"/>
                <w:sz w:val="18"/>
                <w:szCs w:val="18"/>
              </w:rPr>
            </w:pPr>
            <w:r w:rsidRPr="00761055">
              <w:rPr>
                <w:rFonts w:cstheme="minorHAnsi"/>
                <w:color w:val="000000"/>
                <w:sz w:val="18"/>
                <w:szCs w:val="18"/>
              </w:rPr>
              <w:t>115,0%</w:t>
            </w:r>
          </w:p>
        </w:tc>
      </w:tr>
      <w:tr w:rsidR="007A2E50" w:rsidRPr="00761055" w14:paraId="569F1EC3" w14:textId="77777777" w:rsidTr="002F33BC">
        <w:trPr>
          <w:trHeight w:val="402"/>
        </w:trPr>
        <w:tc>
          <w:tcPr>
            <w:tcW w:w="2024" w:type="dxa"/>
            <w:tcBorders>
              <w:top w:val="nil"/>
              <w:left w:val="nil"/>
              <w:bottom w:val="nil"/>
              <w:right w:val="nil"/>
            </w:tcBorders>
            <w:shd w:val="clear" w:color="auto" w:fill="auto"/>
            <w:noWrap/>
            <w:vAlign w:val="bottom"/>
            <w:hideMark/>
          </w:tcPr>
          <w:p w14:paraId="569F1EB0"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Den Haag</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B1" w14:textId="77777777" w:rsidR="00761055" w:rsidRPr="00761055" w:rsidRDefault="00761055">
            <w:pPr>
              <w:jc w:val="right"/>
              <w:rPr>
                <w:rFonts w:cstheme="minorHAnsi"/>
                <w:color w:val="000000"/>
                <w:sz w:val="18"/>
                <w:szCs w:val="18"/>
              </w:rPr>
            </w:pPr>
            <w:r w:rsidRPr="00761055">
              <w:rPr>
                <w:rFonts w:cstheme="minorHAnsi"/>
                <w:color w:val="000000"/>
                <w:sz w:val="18"/>
                <w:szCs w:val="18"/>
              </w:rPr>
              <w:t>44,7%</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B2" w14:textId="77777777" w:rsidR="00761055" w:rsidRPr="00761055" w:rsidRDefault="00761055">
            <w:pPr>
              <w:jc w:val="right"/>
              <w:rPr>
                <w:rFonts w:cstheme="minorHAnsi"/>
                <w:color w:val="000000"/>
                <w:sz w:val="18"/>
                <w:szCs w:val="18"/>
              </w:rPr>
            </w:pPr>
            <w:r w:rsidRPr="00761055">
              <w:rPr>
                <w:rFonts w:cstheme="minorHAnsi"/>
                <w:color w:val="000000"/>
                <w:sz w:val="18"/>
                <w:szCs w:val="18"/>
              </w:rPr>
              <w:t>51,7%</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B3" w14:textId="77777777" w:rsidR="00761055" w:rsidRPr="00761055" w:rsidRDefault="00761055">
            <w:pPr>
              <w:jc w:val="right"/>
              <w:rPr>
                <w:rFonts w:cstheme="minorHAnsi"/>
                <w:color w:val="000000"/>
                <w:sz w:val="18"/>
                <w:szCs w:val="18"/>
              </w:rPr>
            </w:pPr>
            <w:r w:rsidRPr="00761055">
              <w:rPr>
                <w:rFonts w:cstheme="minorHAnsi"/>
                <w:color w:val="000000"/>
                <w:sz w:val="18"/>
                <w:szCs w:val="18"/>
              </w:rPr>
              <w:t>66,0%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B4" w14:textId="77777777" w:rsidR="00761055" w:rsidRPr="00761055" w:rsidRDefault="00761055">
            <w:pPr>
              <w:jc w:val="right"/>
              <w:rPr>
                <w:rFonts w:cstheme="minorHAnsi"/>
                <w:color w:val="000000"/>
                <w:sz w:val="18"/>
                <w:szCs w:val="18"/>
              </w:rPr>
            </w:pPr>
            <w:r w:rsidRPr="00761055">
              <w:rPr>
                <w:rFonts w:cstheme="minorHAnsi"/>
                <w:color w:val="000000"/>
                <w:sz w:val="18"/>
                <w:szCs w:val="18"/>
              </w:rPr>
              <w:t>17,5%</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B5" w14:textId="77777777" w:rsidR="00761055" w:rsidRPr="00761055" w:rsidRDefault="00761055">
            <w:pPr>
              <w:jc w:val="right"/>
              <w:rPr>
                <w:rFonts w:cstheme="minorHAnsi"/>
                <w:color w:val="000000"/>
                <w:sz w:val="18"/>
                <w:szCs w:val="18"/>
              </w:rPr>
            </w:pPr>
            <w:r w:rsidRPr="00761055">
              <w:rPr>
                <w:rFonts w:cstheme="minorHAnsi"/>
                <w:color w:val="000000"/>
                <w:sz w:val="18"/>
                <w:szCs w:val="18"/>
              </w:rPr>
              <w:t>24,8%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B6" w14:textId="77777777" w:rsidR="00761055" w:rsidRPr="00761055" w:rsidRDefault="00761055">
            <w:pPr>
              <w:jc w:val="right"/>
              <w:rPr>
                <w:rFonts w:cstheme="minorHAnsi"/>
                <w:color w:val="000000"/>
                <w:sz w:val="18"/>
                <w:szCs w:val="18"/>
              </w:rPr>
            </w:pPr>
            <w:r w:rsidRPr="00761055">
              <w:rPr>
                <w:rFonts w:cstheme="minorHAnsi"/>
                <w:color w:val="000000"/>
                <w:sz w:val="18"/>
                <w:szCs w:val="18"/>
              </w:rPr>
              <w:t>35,4%</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B7" w14:textId="77777777" w:rsidR="00761055" w:rsidRPr="00761055" w:rsidRDefault="00761055">
            <w:pPr>
              <w:jc w:val="right"/>
              <w:rPr>
                <w:rFonts w:cstheme="minorHAnsi"/>
                <w:color w:val="000000"/>
                <w:sz w:val="18"/>
                <w:szCs w:val="18"/>
              </w:rPr>
            </w:pPr>
            <w:r w:rsidRPr="00761055">
              <w:rPr>
                <w:rFonts w:cstheme="minorHAnsi"/>
                <w:color w:val="000000"/>
                <w:sz w:val="18"/>
                <w:szCs w:val="18"/>
              </w:rPr>
              <w:t>35,7%</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B8" w14:textId="77777777" w:rsidR="00761055" w:rsidRPr="00761055" w:rsidRDefault="00761055">
            <w:pPr>
              <w:jc w:val="right"/>
              <w:rPr>
                <w:rFonts w:cstheme="minorHAnsi"/>
                <w:color w:val="000000"/>
                <w:sz w:val="18"/>
                <w:szCs w:val="18"/>
              </w:rPr>
            </w:pPr>
            <w:r w:rsidRPr="00761055">
              <w:rPr>
                <w:rFonts w:cstheme="minorHAnsi"/>
                <w:color w:val="000000"/>
                <w:sz w:val="18"/>
                <w:szCs w:val="18"/>
              </w:rPr>
              <w:t>30,0%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B9" w14:textId="77777777" w:rsidR="00761055" w:rsidRPr="00761055" w:rsidRDefault="00761055">
            <w:pPr>
              <w:jc w:val="right"/>
              <w:rPr>
                <w:rFonts w:cstheme="minorHAnsi"/>
                <w:color w:val="000000"/>
                <w:sz w:val="18"/>
                <w:szCs w:val="18"/>
              </w:rPr>
            </w:pPr>
            <w:r w:rsidRPr="00761055">
              <w:rPr>
                <w:rFonts w:cstheme="minorHAnsi"/>
                <w:color w:val="000000"/>
                <w:sz w:val="18"/>
                <w:szCs w:val="18"/>
              </w:rPr>
              <w:t>22,4%</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BA" w14:textId="77777777" w:rsidR="00761055" w:rsidRPr="00761055" w:rsidRDefault="00761055">
            <w:pPr>
              <w:jc w:val="right"/>
              <w:rPr>
                <w:rFonts w:cstheme="minorHAnsi"/>
                <w:color w:val="000000"/>
                <w:sz w:val="18"/>
                <w:szCs w:val="18"/>
              </w:rPr>
            </w:pPr>
            <w:r w:rsidRPr="00761055">
              <w:rPr>
                <w:rFonts w:cstheme="minorHAnsi"/>
                <w:color w:val="000000"/>
                <w:sz w:val="18"/>
                <w:szCs w:val="18"/>
              </w:rPr>
              <w:t>2,0%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BB" w14:textId="77777777" w:rsidR="00761055" w:rsidRPr="00761055" w:rsidRDefault="00761055">
            <w:pPr>
              <w:jc w:val="right"/>
              <w:rPr>
                <w:rFonts w:cstheme="minorHAnsi"/>
                <w:color w:val="000000"/>
                <w:sz w:val="18"/>
                <w:szCs w:val="18"/>
              </w:rPr>
            </w:pPr>
            <w:r w:rsidRPr="00761055">
              <w:rPr>
                <w:rFonts w:cstheme="minorHAnsi"/>
                <w:color w:val="000000"/>
                <w:sz w:val="18"/>
                <w:szCs w:val="18"/>
              </w:rPr>
              <w:t>2,6%</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BC" w14:textId="77777777" w:rsidR="00761055" w:rsidRPr="00761055" w:rsidRDefault="00761055">
            <w:pPr>
              <w:jc w:val="right"/>
              <w:rPr>
                <w:rFonts w:cstheme="minorHAnsi"/>
                <w:color w:val="000000"/>
                <w:sz w:val="18"/>
                <w:szCs w:val="18"/>
              </w:rPr>
            </w:pPr>
            <w:r w:rsidRPr="00761055">
              <w:rPr>
                <w:rFonts w:cstheme="minorHAnsi"/>
                <w:color w:val="000000"/>
                <w:sz w:val="18"/>
                <w:szCs w:val="18"/>
              </w:rPr>
              <w:t>3,1%</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BD" w14:textId="77777777" w:rsidR="00761055" w:rsidRPr="00761055" w:rsidRDefault="00761055">
            <w:pPr>
              <w:jc w:val="right"/>
              <w:rPr>
                <w:rFonts w:cstheme="minorHAnsi"/>
                <w:color w:val="000000"/>
                <w:sz w:val="18"/>
                <w:szCs w:val="18"/>
              </w:rPr>
            </w:pPr>
            <w:r w:rsidRPr="00761055">
              <w:rPr>
                <w:rFonts w:cstheme="minorHAnsi"/>
                <w:color w:val="000000"/>
                <w:sz w:val="18"/>
                <w:szCs w:val="18"/>
              </w:rPr>
              <w:t>-0,6%</w:t>
            </w:r>
          </w:p>
        </w:tc>
        <w:tc>
          <w:tcPr>
            <w:tcW w:w="64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BE" w14:textId="77777777" w:rsidR="00761055" w:rsidRPr="00761055" w:rsidRDefault="00761055">
            <w:pPr>
              <w:jc w:val="right"/>
              <w:rPr>
                <w:rFonts w:cstheme="minorHAnsi"/>
                <w:color w:val="000000"/>
                <w:sz w:val="18"/>
                <w:szCs w:val="18"/>
              </w:rPr>
            </w:pPr>
            <w:r w:rsidRPr="00761055">
              <w:rPr>
                <w:rFonts w:cstheme="minorHAnsi"/>
                <w:color w:val="000000"/>
                <w:sz w:val="18"/>
                <w:szCs w:val="18"/>
              </w:rPr>
              <w:t>0,0%</w:t>
            </w:r>
          </w:p>
        </w:tc>
        <w:tc>
          <w:tcPr>
            <w:tcW w:w="5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BF" w14:textId="77777777" w:rsidR="00761055" w:rsidRPr="00761055" w:rsidRDefault="00761055">
            <w:pPr>
              <w:jc w:val="right"/>
              <w:rPr>
                <w:rFonts w:cstheme="minorHAnsi"/>
                <w:color w:val="000000"/>
                <w:sz w:val="18"/>
                <w:szCs w:val="18"/>
              </w:rPr>
            </w:pPr>
            <w:r w:rsidRPr="00761055">
              <w:rPr>
                <w:rFonts w:cstheme="minorHAnsi"/>
                <w:color w:val="000000"/>
                <w:sz w:val="18"/>
                <w:szCs w:val="18"/>
              </w:rPr>
              <w:t>0,0%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C0" w14:textId="77777777" w:rsidR="00761055" w:rsidRPr="00761055" w:rsidRDefault="00761055">
            <w:pPr>
              <w:jc w:val="right"/>
              <w:rPr>
                <w:rFonts w:cstheme="minorHAnsi"/>
                <w:color w:val="000000"/>
                <w:sz w:val="18"/>
                <w:szCs w:val="18"/>
              </w:rPr>
            </w:pPr>
            <w:r w:rsidRPr="00761055">
              <w:rPr>
                <w:rFonts w:cstheme="minorHAnsi"/>
                <w:color w:val="000000"/>
                <w:sz w:val="18"/>
                <w:szCs w:val="18"/>
              </w:rPr>
              <w:t>77,3%</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C1" w14:textId="77777777" w:rsidR="00761055" w:rsidRPr="00761055" w:rsidRDefault="00761055">
            <w:pPr>
              <w:jc w:val="right"/>
              <w:rPr>
                <w:rFonts w:cstheme="minorHAnsi"/>
                <w:color w:val="000000"/>
                <w:sz w:val="18"/>
                <w:szCs w:val="18"/>
              </w:rPr>
            </w:pPr>
            <w:r w:rsidRPr="00761055">
              <w:rPr>
                <w:rFonts w:cstheme="minorHAnsi"/>
                <w:color w:val="000000"/>
                <w:sz w:val="18"/>
                <w:szCs w:val="18"/>
              </w:rPr>
              <w:t>76,0%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C2" w14:textId="77777777" w:rsidR="00761055" w:rsidRPr="00761055" w:rsidRDefault="00761055">
            <w:pPr>
              <w:jc w:val="right"/>
              <w:rPr>
                <w:rFonts w:cstheme="minorHAnsi"/>
                <w:color w:val="000000"/>
                <w:sz w:val="18"/>
                <w:szCs w:val="18"/>
              </w:rPr>
            </w:pPr>
            <w:r w:rsidRPr="00761055">
              <w:rPr>
                <w:rFonts w:cstheme="minorHAnsi"/>
                <w:color w:val="000000"/>
                <w:sz w:val="18"/>
                <w:szCs w:val="18"/>
              </w:rPr>
              <w:t>76,0%</w:t>
            </w:r>
          </w:p>
        </w:tc>
      </w:tr>
      <w:tr w:rsidR="007A2E50" w:rsidRPr="00761055" w14:paraId="569F1ED7" w14:textId="77777777" w:rsidTr="002F33BC">
        <w:trPr>
          <w:trHeight w:val="402"/>
        </w:trPr>
        <w:tc>
          <w:tcPr>
            <w:tcW w:w="2024" w:type="dxa"/>
            <w:tcBorders>
              <w:top w:val="nil"/>
              <w:left w:val="nil"/>
              <w:bottom w:val="nil"/>
              <w:right w:val="nil"/>
            </w:tcBorders>
            <w:shd w:val="clear" w:color="auto" w:fill="auto"/>
            <w:noWrap/>
            <w:vAlign w:val="bottom"/>
            <w:hideMark/>
          </w:tcPr>
          <w:p w14:paraId="569F1EC4"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Dordrecht</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C5" w14:textId="77777777" w:rsidR="00761055" w:rsidRPr="00761055" w:rsidRDefault="00761055">
            <w:pPr>
              <w:jc w:val="right"/>
              <w:rPr>
                <w:rFonts w:cstheme="minorHAnsi"/>
                <w:color w:val="000000"/>
                <w:sz w:val="18"/>
                <w:szCs w:val="18"/>
              </w:rPr>
            </w:pPr>
            <w:r w:rsidRPr="00761055">
              <w:rPr>
                <w:rFonts w:cstheme="minorHAnsi"/>
                <w:color w:val="000000"/>
                <w:sz w:val="18"/>
                <w:szCs w:val="18"/>
              </w:rPr>
              <w:t>64,0%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C6" w14:textId="77777777" w:rsidR="00761055" w:rsidRPr="00761055" w:rsidRDefault="00761055">
            <w:pPr>
              <w:jc w:val="right"/>
              <w:rPr>
                <w:rFonts w:cstheme="minorHAnsi"/>
                <w:color w:val="000000"/>
                <w:sz w:val="18"/>
                <w:szCs w:val="18"/>
              </w:rPr>
            </w:pPr>
            <w:r w:rsidRPr="00761055">
              <w:rPr>
                <w:rFonts w:cstheme="minorHAnsi"/>
                <w:color w:val="000000"/>
                <w:sz w:val="18"/>
                <w:szCs w:val="18"/>
              </w:rPr>
              <w:t>56,0%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C7" w14:textId="77777777" w:rsidR="00761055" w:rsidRPr="00761055" w:rsidRDefault="00761055">
            <w:pPr>
              <w:jc w:val="right"/>
              <w:rPr>
                <w:rFonts w:cstheme="minorHAnsi"/>
                <w:color w:val="000000"/>
                <w:sz w:val="18"/>
                <w:szCs w:val="18"/>
              </w:rPr>
            </w:pPr>
            <w:r w:rsidRPr="00761055">
              <w:rPr>
                <w:rFonts w:cstheme="minorHAnsi"/>
                <w:color w:val="000000"/>
                <w:sz w:val="18"/>
                <w:szCs w:val="18"/>
              </w:rPr>
              <w:t>68,0%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C8" w14:textId="77777777" w:rsidR="00761055" w:rsidRPr="00761055" w:rsidRDefault="00761055">
            <w:pPr>
              <w:jc w:val="right"/>
              <w:rPr>
                <w:rFonts w:cstheme="minorHAnsi"/>
                <w:color w:val="000000"/>
                <w:sz w:val="18"/>
                <w:szCs w:val="18"/>
              </w:rPr>
            </w:pPr>
            <w:r w:rsidRPr="00761055">
              <w:rPr>
                <w:rFonts w:cstheme="minorHAnsi"/>
                <w:color w:val="000000"/>
                <w:sz w:val="18"/>
                <w:szCs w:val="18"/>
              </w:rPr>
              <w:t>54,0%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C9" w14:textId="77777777" w:rsidR="00761055" w:rsidRPr="00761055" w:rsidRDefault="00761055">
            <w:pPr>
              <w:jc w:val="right"/>
              <w:rPr>
                <w:rFonts w:cstheme="minorHAnsi"/>
                <w:color w:val="000000"/>
                <w:sz w:val="18"/>
                <w:szCs w:val="18"/>
              </w:rPr>
            </w:pPr>
            <w:r w:rsidRPr="00761055">
              <w:rPr>
                <w:rFonts w:cstheme="minorHAnsi"/>
                <w:color w:val="000000"/>
                <w:sz w:val="18"/>
                <w:szCs w:val="18"/>
              </w:rPr>
              <w:t>47,0%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CA" w14:textId="77777777" w:rsidR="00761055" w:rsidRPr="00761055" w:rsidRDefault="00761055">
            <w:pPr>
              <w:jc w:val="right"/>
              <w:rPr>
                <w:rFonts w:cstheme="minorHAnsi"/>
                <w:color w:val="000000"/>
                <w:sz w:val="18"/>
                <w:szCs w:val="18"/>
              </w:rPr>
            </w:pPr>
            <w:r w:rsidRPr="00761055">
              <w:rPr>
                <w:rFonts w:cstheme="minorHAnsi"/>
                <w:color w:val="000000"/>
                <w:sz w:val="18"/>
                <w:szCs w:val="18"/>
              </w:rPr>
              <w:t>59,0%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CB" w14:textId="77777777" w:rsidR="00761055" w:rsidRPr="00761055" w:rsidRDefault="00761055">
            <w:pPr>
              <w:jc w:val="right"/>
              <w:rPr>
                <w:rFonts w:cstheme="minorHAnsi"/>
                <w:color w:val="000000"/>
                <w:sz w:val="18"/>
                <w:szCs w:val="18"/>
              </w:rPr>
            </w:pPr>
            <w:r w:rsidRPr="00761055">
              <w:rPr>
                <w:rFonts w:cstheme="minorHAnsi"/>
                <w:color w:val="000000"/>
                <w:sz w:val="18"/>
                <w:szCs w:val="18"/>
              </w:rPr>
              <w:t>49,0%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CC" w14:textId="77777777" w:rsidR="00761055" w:rsidRPr="00761055" w:rsidRDefault="00761055">
            <w:pPr>
              <w:jc w:val="right"/>
              <w:rPr>
                <w:rFonts w:cstheme="minorHAnsi"/>
                <w:color w:val="000000"/>
                <w:sz w:val="18"/>
                <w:szCs w:val="18"/>
              </w:rPr>
            </w:pPr>
            <w:r w:rsidRPr="00761055">
              <w:rPr>
                <w:rFonts w:cstheme="minorHAnsi"/>
                <w:color w:val="000000"/>
                <w:sz w:val="18"/>
                <w:szCs w:val="18"/>
              </w:rPr>
              <w:t>45,0%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CD" w14:textId="77777777" w:rsidR="00761055" w:rsidRPr="00761055" w:rsidRDefault="00761055">
            <w:pPr>
              <w:jc w:val="right"/>
              <w:rPr>
                <w:rFonts w:cstheme="minorHAnsi"/>
                <w:color w:val="000000"/>
                <w:sz w:val="18"/>
                <w:szCs w:val="18"/>
              </w:rPr>
            </w:pPr>
            <w:r w:rsidRPr="00761055">
              <w:rPr>
                <w:rFonts w:cstheme="minorHAnsi"/>
                <w:color w:val="000000"/>
                <w:sz w:val="18"/>
                <w:szCs w:val="18"/>
              </w:rPr>
              <w:t>43,0%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CE" w14:textId="77777777" w:rsidR="00761055" w:rsidRPr="00761055" w:rsidRDefault="00761055">
            <w:pPr>
              <w:jc w:val="right"/>
              <w:rPr>
                <w:rFonts w:cstheme="minorHAnsi"/>
                <w:color w:val="000000"/>
                <w:sz w:val="18"/>
                <w:szCs w:val="18"/>
              </w:rPr>
            </w:pPr>
            <w:r w:rsidRPr="00761055">
              <w:rPr>
                <w:rFonts w:cstheme="minorHAnsi"/>
                <w:color w:val="000000"/>
                <w:sz w:val="18"/>
                <w:szCs w:val="18"/>
              </w:rPr>
              <w:t>18,0%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CF" w14:textId="77777777" w:rsidR="00761055" w:rsidRPr="00761055" w:rsidRDefault="00761055">
            <w:pPr>
              <w:jc w:val="right"/>
              <w:rPr>
                <w:rFonts w:cstheme="minorHAnsi"/>
                <w:color w:val="000000"/>
                <w:sz w:val="18"/>
                <w:szCs w:val="18"/>
              </w:rPr>
            </w:pPr>
            <w:r w:rsidRPr="00761055">
              <w:rPr>
                <w:rFonts w:cstheme="minorHAnsi"/>
                <w:color w:val="000000"/>
                <w:sz w:val="18"/>
                <w:szCs w:val="18"/>
              </w:rPr>
              <w:t>19,0%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D0" w14:textId="77777777" w:rsidR="00761055" w:rsidRPr="00761055" w:rsidRDefault="00761055">
            <w:pPr>
              <w:jc w:val="right"/>
              <w:rPr>
                <w:rFonts w:cstheme="minorHAnsi"/>
                <w:color w:val="000000"/>
                <w:sz w:val="18"/>
                <w:szCs w:val="18"/>
              </w:rPr>
            </w:pPr>
            <w:r w:rsidRPr="00761055">
              <w:rPr>
                <w:rFonts w:cstheme="minorHAnsi"/>
                <w:color w:val="000000"/>
                <w:sz w:val="18"/>
                <w:szCs w:val="18"/>
              </w:rPr>
              <w:t>19,0%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D1" w14:textId="77777777" w:rsidR="00761055" w:rsidRPr="00761055" w:rsidRDefault="00761055">
            <w:pPr>
              <w:jc w:val="right"/>
              <w:rPr>
                <w:rFonts w:cstheme="minorHAnsi"/>
                <w:color w:val="000000"/>
                <w:sz w:val="18"/>
                <w:szCs w:val="18"/>
              </w:rPr>
            </w:pPr>
            <w:r w:rsidRPr="00761055">
              <w:rPr>
                <w:rFonts w:cstheme="minorHAnsi"/>
                <w:color w:val="000000"/>
                <w:sz w:val="18"/>
                <w:szCs w:val="18"/>
              </w:rPr>
              <w:t>2,3%</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D2" w14:textId="77777777" w:rsidR="00761055" w:rsidRPr="00761055" w:rsidRDefault="00761055">
            <w:pPr>
              <w:jc w:val="right"/>
              <w:rPr>
                <w:rFonts w:cstheme="minorHAnsi"/>
                <w:color w:val="000000"/>
                <w:sz w:val="18"/>
                <w:szCs w:val="18"/>
              </w:rPr>
            </w:pPr>
            <w:r w:rsidRPr="00761055">
              <w:rPr>
                <w:rFonts w:cstheme="minorHAnsi"/>
                <w:color w:val="000000"/>
                <w:sz w:val="18"/>
                <w:szCs w:val="18"/>
              </w:rPr>
              <w:t>-1,6%</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D3" w14:textId="77777777" w:rsidR="00761055" w:rsidRPr="00761055" w:rsidRDefault="00761055">
            <w:pPr>
              <w:jc w:val="right"/>
              <w:rPr>
                <w:rFonts w:cstheme="minorHAnsi"/>
                <w:color w:val="000000"/>
                <w:sz w:val="18"/>
                <w:szCs w:val="18"/>
              </w:rPr>
            </w:pPr>
            <w:r w:rsidRPr="00761055">
              <w:rPr>
                <w:rFonts w:cstheme="minorHAnsi"/>
                <w:color w:val="000000"/>
                <w:sz w:val="18"/>
                <w:szCs w:val="18"/>
              </w:rPr>
              <w:t>0,2%</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D4" w14:textId="77777777" w:rsidR="00761055" w:rsidRPr="00761055" w:rsidRDefault="00761055">
            <w:pPr>
              <w:jc w:val="right"/>
              <w:rPr>
                <w:rFonts w:cstheme="minorHAnsi"/>
                <w:color w:val="000000"/>
                <w:sz w:val="18"/>
                <w:szCs w:val="18"/>
              </w:rPr>
            </w:pPr>
            <w:r w:rsidRPr="00761055">
              <w:rPr>
                <w:rFonts w:cstheme="minorHAnsi"/>
                <w:color w:val="000000"/>
                <w:sz w:val="18"/>
                <w:szCs w:val="18"/>
              </w:rPr>
              <w:t>90,0%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D5" w14:textId="77777777" w:rsidR="00761055" w:rsidRPr="00761055" w:rsidRDefault="00761055">
            <w:pPr>
              <w:jc w:val="right"/>
              <w:rPr>
                <w:rFonts w:cstheme="minorHAnsi"/>
                <w:color w:val="000000"/>
                <w:sz w:val="18"/>
                <w:szCs w:val="18"/>
              </w:rPr>
            </w:pPr>
            <w:r w:rsidRPr="00761055">
              <w:rPr>
                <w:rFonts w:cstheme="minorHAnsi"/>
                <w:color w:val="000000"/>
                <w:sz w:val="18"/>
                <w:szCs w:val="18"/>
              </w:rPr>
              <w:t>90,0%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D6" w14:textId="77777777" w:rsidR="00761055" w:rsidRPr="00761055" w:rsidRDefault="00761055">
            <w:pPr>
              <w:jc w:val="right"/>
              <w:rPr>
                <w:rFonts w:cstheme="minorHAnsi"/>
                <w:color w:val="000000"/>
                <w:sz w:val="18"/>
                <w:szCs w:val="18"/>
              </w:rPr>
            </w:pPr>
            <w:r w:rsidRPr="00761055">
              <w:rPr>
                <w:rFonts w:cstheme="minorHAnsi"/>
                <w:color w:val="000000"/>
                <w:sz w:val="18"/>
                <w:szCs w:val="18"/>
              </w:rPr>
              <w:t>90,0%</w:t>
            </w:r>
          </w:p>
        </w:tc>
      </w:tr>
      <w:tr w:rsidR="007A2E50" w:rsidRPr="00761055" w14:paraId="569F1EEB" w14:textId="77777777" w:rsidTr="002F33BC">
        <w:trPr>
          <w:trHeight w:val="402"/>
        </w:trPr>
        <w:tc>
          <w:tcPr>
            <w:tcW w:w="2024" w:type="dxa"/>
            <w:tcBorders>
              <w:top w:val="nil"/>
              <w:left w:val="nil"/>
              <w:bottom w:val="nil"/>
              <w:right w:val="nil"/>
            </w:tcBorders>
            <w:shd w:val="clear" w:color="auto" w:fill="auto"/>
            <w:noWrap/>
            <w:vAlign w:val="bottom"/>
            <w:hideMark/>
          </w:tcPr>
          <w:p w14:paraId="569F1ED8"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Giessenlanden</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D9" w14:textId="77777777" w:rsidR="00761055" w:rsidRPr="00761055" w:rsidRDefault="00761055">
            <w:pPr>
              <w:jc w:val="right"/>
              <w:rPr>
                <w:rFonts w:cstheme="minorHAnsi"/>
                <w:color w:val="000000"/>
                <w:sz w:val="18"/>
                <w:szCs w:val="18"/>
              </w:rPr>
            </w:pPr>
            <w:r w:rsidRPr="00761055">
              <w:rPr>
                <w:rFonts w:cstheme="minorHAnsi"/>
                <w:color w:val="000000"/>
                <w:sz w:val="18"/>
                <w:szCs w:val="18"/>
              </w:rPr>
              <w:t>6,0%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DA" w14:textId="77777777" w:rsidR="00761055" w:rsidRPr="00761055" w:rsidRDefault="00761055">
            <w:pPr>
              <w:jc w:val="right"/>
              <w:rPr>
                <w:rFonts w:cstheme="minorHAnsi"/>
                <w:color w:val="000000"/>
                <w:sz w:val="18"/>
                <w:szCs w:val="18"/>
              </w:rPr>
            </w:pPr>
            <w:r w:rsidRPr="00761055">
              <w:rPr>
                <w:rFonts w:cstheme="minorHAnsi"/>
                <w:color w:val="000000"/>
                <w:sz w:val="18"/>
                <w:szCs w:val="18"/>
              </w:rPr>
              <w:t>4,0%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DB" w14:textId="77777777" w:rsidR="00761055" w:rsidRPr="00761055" w:rsidRDefault="00761055">
            <w:pPr>
              <w:jc w:val="right"/>
              <w:rPr>
                <w:rFonts w:cstheme="minorHAnsi"/>
                <w:color w:val="000000"/>
                <w:sz w:val="18"/>
                <w:szCs w:val="18"/>
              </w:rPr>
            </w:pPr>
            <w:r w:rsidRPr="00761055">
              <w:rPr>
                <w:rFonts w:cstheme="minorHAnsi"/>
                <w:color w:val="000000"/>
                <w:sz w:val="18"/>
                <w:szCs w:val="18"/>
              </w:rPr>
              <w:t>4,0%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DC" w14:textId="77777777" w:rsidR="00761055" w:rsidRPr="00761055" w:rsidRDefault="00761055">
            <w:pPr>
              <w:jc w:val="right"/>
              <w:rPr>
                <w:rFonts w:cstheme="minorHAnsi"/>
                <w:color w:val="000000"/>
                <w:sz w:val="18"/>
                <w:szCs w:val="18"/>
              </w:rPr>
            </w:pPr>
            <w:r w:rsidRPr="00761055">
              <w:rPr>
                <w:rFonts w:cstheme="minorHAnsi"/>
                <w:color w:val="000000"/>
                <w:sz w:val="18"/>
                <w:szCs w:val="18"/>
              </w:rPr>
              <w:t>-33,0%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DD" w14:textId="77777777" w:rsidR="00761055" w:rsidRPr="00761055" w:rsidRDefault="00761055">
            <w:pPr>
              <w:jc w:val="right"/>
              <w:rPr>
                <w:rFonts w:cstheme="minorHAnsi"/>
                <w:color w:val="000000"/>
                <w:sz w:val="18"/>
                <w:szCs w:val="18"/>
              </w:rPr>
            </w:pPr>
            <w:r w:rsidRPr="00761055">
              <w:rPr>
                <w:rFonts w:cstheme="minorHAnsi"/>
                <w:color w:val="000000"/>
                <w:sz w:val="18"/>
                <w:szCs w:val="18"/>
              </w:rPr>
              <w:t>-49,0%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DE" w14:textId="77777777" w:rsidR="00761055" w:rsidRPr="00761055" w:rsidRDefault="00761055">
            <w:pPr>
              <w:jc w:val="right"/>
              <w:rPr>
                <w:rFonts w:cstheme="minorHAnsi"/>
                <w:color w:val="000000"/>
                <w:sz w:val="18"/>
                <w:szCs w:val="18"/>
              </w:rPr>
            </w:pPr>
            <w:r w:rsidRPr="00761055">
              <w:rPr>
                <w:rFonts w:cstheme="minorHAnsi"/>
                <w:color w:val="000000"/>
                <w:sz w:val="18"/>
                <w:szCs w:val="18"/>
              </w:rPr>
              <w:t>-49,0%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DF" w14:textId="77777777" w:rsidR="00761055" w:rsidRPr="00761055" w:rsidRDefault="00761055">
            <w:pPr>
              <w:jc w:val="right"/>
              <w:rPr>
                <w:rFonts w:cstheme="minorHAnsi"/>
                <w:color w:val="000000"/>
                <w:sz w:val="18"/>
                <w:szCs w:val="18"/>
              </w:rPr>
            </w:pPr>
            <w:r w:rsidRPr="00761055">
              <w:rPr>
                <w:rFonts w:cstheme="minorHAnsi"/>
                <w:color w:val="000000"/>
                <w:sz w:val="18"/>
                <w:szCs w:val="18"/>
              </w:rPr>
              <w:t>85,0%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E0" w14:textId="77777777" w:rsidR="00761055" w:rsidRPr="00761055" w:rsidRDefault="00761055">
            <w:pPr>
              <w:jc w:val="right"/>
              <w:rPr>
                <w:rFonts w:cstheme="minorHAnsi"/>
                <w:color w:val="000000"/>
                <w:sz w:val="18"/>
                <w:szCs w:val="18"/>
              </w:rPr>
            </w:pPr>
            <w:r w:rsidRPr="00761055">
              <w:rPr>
                <w:rFonts w:cstheme="minorHAnsi"/>
                <w:color w:val="000000"/>
                <w:sz w:val="18"/>
                <w:szCs w:val="18"/>
              </w:rPr>
              <w:t>85,0%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E1" w14:textId="77777777" w:rsidR="00761055" w:rsidRPr="00761055" w:rsidRDefault="00761055">
            <w:pPr>
              <w:jc w:val="right"/>
              <w:rPr>
                <w:rFonts w:cstheme="minorHAnsi"/>
                <w:color w:val="000000"/>
                <w:sz w:val="18"/>
                <w:szCs w:val="18"/>
              </w:rPr>
            </w:pPr>
            <w:r w:rsidRPr="00761055">
              <w:rPr>
                <w:rFonts w:cstheme="minorHAnsi"/>
                <w:color w:val="000000"/>
                <w:sz w:val="18"/>
                <w:szCs w:val="18"/>
              </w:rPr>
              <w:t>85,0%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E2" w14:textId="77777777" w:rsidR="00761055" w:rsidRPr="00761055" w:rsidRDefault="00761055">
            <w:pPr>
              <w:jc w:val="right"/>
              <w:rPr>
                <w:rFonts w:cstheme="minorHAnsi"/>
                <w:color w:val="000000"/>
                <w:sz w:val="18"/>
                <w:szCs w:val="18"/>
              </w:rPr>
            </w:pPr>
            <w:r w:rsidRPr="00761055">
              <w:rPr>
                <w:rFonts w:cstheme="minorHAnsi"/>
                <w:color w:val="000000"/>
                <w:sz w:val="18"/>
                <w:szCs w:val="18"/>
              </w:rPr>
              <w:t>7,0%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E3" w14:textId="77777777" w:rsidR="00761055" w:rsidRPr="00761055" w:rsidRDefault="00761055">
            <w:pPr>
              <w:jc w:val="right"/>
              <w:rPr>
                <w:rFonts w:cstheme="minorHAnsi"/>
                <w:color w:val="000000"/>
                <w:sz w:val="18"/>
                <w:szCs w:val="18"/>
              </w:rPr>
            </w:pPr>
            <w:r w:rsidRPr="00761055">
              <w:rPr>
                <w:rFonts w:cstheme="minorHAnsi"/>
                <w:color w:val="000000"/>
                <w:sz w:val="18"/>
                <w:szCs w:val="18"/>
              </w:rPr>
              <w:t>3,0%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E4" w14:textId="77777777" w:rsidR="00761055" w:rsidRPr="00761055" w:rsidRDefault="00761055">
            <w:pPr>
              <w:jc w:val="right"/>
              <w:rPr>
                <w:rFonts w:cstheme="minorHAnsi"/>
                <w:color w:val="000000"/>
                <w:sz w:val="18"/>
                <w:szCs w:val="18"/>
              </w:rPr>
            </w:pPr>
            <w:r w:rsidRPr="00761055">
              <w:rPr>
                <w:rFonts w:cstheme="minorHAnsi"/>
                <w:color w:val="000000"/>
                <w:sz w:val="18"/>
                <w:szCs w:val="18"/>
              </w:rPr>
              <w:t>3,0%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E5" w14:textId="77777777" w:rsidR="00761055" w:rsidRPr="00761055" w:rsidRDefault="00761055">
            <w:pPr>
              <w:jc w:val="right"/>
              <w:rPr>
                <w:rFonts w:cstheme="minorHAnsi"/>
                <w:color w:val="000000"/>
                <w:sz w:val="18"/>
                <w:szCs w:val="18"/>
              </w:rPr>
            </w:pPr>
            <w:r w:rsidRPr="00761055">
              <w:rPr>
                <w:rFonts w:cstheme="minorHAnsi"/>
                <w:color w:val="000000"/>
                <w:sz w:val="18"/>
                <w:szCs w:val="18"/>
              </w:rPr>
              <w:t>2,0%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E6" w14:textId="77777777" w:rsidR="00761055" w:rsidRPr="00761055" w:rsidRDefault="00761055">
            <w:pPr>
              <w:jc w:val="right"/>
              <w:rPr>
                <w:rFonts w:cstheme="minorHAnsi"/>
                <w:color w:val="000000"/>
                <w:sz w:val="18"/>
                <w:szCs w:val="18"/>
              </w:rPr>
            </w:pPr>
            <w:r w:rsidRPr="00761055">
              <w:rPr>
                <w:rFonts w:cstheme="minorHAnsi"/>
                <w:color w:val="000000"/>
                <w:sz w:val="18"/>
                <w:szCs w:val="18"/>
              </w:rPr>
              <w:t>3,0%</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E7" w14:textId="77777777" w:rsidR="00761055" w:rsidRPr="00761055" w:rsidRDefault="00761055">
            <w:pPr>
              <w:jc w:val="right"/>
              <w:rPr>
                <w:rFonts w:cstheme="minorHAnsi"/>
                <w:color w:val="000000"/>
                <w:sz w:val="18"/>
                <w:szCs w:val="18"/>
              </w:rPr>
            </w:pPr>
            <w:r w:rsidRPr="00761055">
              <w:rPr>
                <w:rFonts w:cstheme="minorHAnsi"/>
                <w:color w:val="000000"/>
                <w:sz w:val="18"/>
                <w:szCs w:val="18"/>
              </w:rPr>
              <w:t>3,0%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E8" w14:textId="77777777" w:rsidR="00761055" w:rsidRPr="00761055" w:rsidRDefault="00761055">
            <w:pPr>
              <w:jc w:val="right"/>
              <w:rPr>
                <w:rFonts w:cstheme="minorHAnsi"/>
                <w:color w:val="000000"/>
                <w:sz w:val="18"/>
                <w:szCs w:val="18"/>
              </w:rPr>
            </w:pPr>
            <w:r w:rsidRPr="00761055">
              <w:rPr>
                <w:rFonts w:cstheme="minorHAnsi"/>
                <w:color w:val="000000"/>
                <w:sz w:val="18"/>
                <w:szCs w:val="18"/>
              </w:rPr>
              <w:t>115,0%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E9" w14:textId="77777777" w:rsidR="00761055" w:rsidRPr="00761055" w:rsidRDefault="00761055">
            <w:pPr>
              <w:jc w:val="right"/>
              <w:rPr>
                <w:rFonts w:cstheme="minorHAnsi"/>
                <w:color w:val="000000"/>
                <w:sz w:val="18"/>
                <w:szCs w:val="18"/>
              </w:rPr>
            </w:pPr>
            <w:r w:rsidRPr="00761055">
              <w:rPr>
                <w:rFonts w:cstheme="minorHAnsi"/>
                <w:color w:val="000000"/>
                <w:sz w:val="18"/>
                <w:szCs w:val="18"/>
              </w:rPr>
              <w:t>111,0%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EA" w14:textId="77777777" w:rsidR="00761055" w:rsidRPr="00761055" w:rsidRDefault="00761055">
            <w:pPr>
              <w:jc w:val="right"/>
              <w:rPr>
                <w:rFonts w:cstheme="minorHAnsi"/>
                <w:color w:val="000000"/>
                <w:sz w:val="18"/>
                <w:szCs w:val="18"/>
              </w:rPr>
            </w:pPr>
            <w:r w:rsidRPr="00761055">
              <w:rPr>
                <w:rFonts w:cstheme="minorHAnsi"/>
                <w:color w:val="000000"/>
                <w:sz w:val="18"/>
                <w:szCs w:val="18"/>
              </w:rPr>
              <w:t>111,0%</w:t>
            </w:r>
          </w:p>
        </w:tc>
      </w:tr>
      <w:tr w:rsidR="007A2E50" w:rsidRPr="00761055" w14:paraId="569F1EFF" w14:textId="77777777" w:rsidTr="002F33BC">
        <w:trPr>
          <w:trHeight w:val="402"/>
        </w:trPr>
        <w:tc>
          <w:tcPr>
            <w:tcW w:w="2024" w:type="dxa"/>
            <w:tcBorders>
              <w:top w:val="nil"/>
              <w:left w:val="nil"/>
              <w:bottom w:val="nil"/>
              <w:right w:val="nil"/>
            </w:tcBorders>
            <w:shd w:val="clear" w:color="auto" w:fill="auto"/>
            <w:noWrap/>
            <w:vAlign w:val="bottom"/>
            <w:hideMark/>
          </w:tcPr>
          <w:p w14:paraId="569F1EEC"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Goeree-Overflakkee</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ED" w14:textId="77777777" w:rsidR="00761055" w:rsidRPr="00761055" w:rsidRDefault="00761055">
            <w:pPr>
              <w:jc w:val="right"/>
              <w:rPr>
                <w:rFonts w:cstheme="minorHAnsi"/>
                <w:color w:val="000000"/>
                <w:sz w:val="18"/>
                <w:szCs w:val="18"/>
              </w:rPr>
            </w:pPr>
            <w:r w:rsidRPr="00761055">
              <w:rPr>
                <w:rFonts w:cstheme="minorHAnsi"/>
                <w:color w:val="000000"/>
                <w:sz w:val="18"/>
                <w:szCs w:val="18"/>
              </w:rPr>
              <w:t>76,2%</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EE" w14:textId="77777777" w:rsidR="00761055" w:rsidRPr="00761055" w:rsidRDefault="00761055">
            <w:pPr>
              <w:jc w:val="right"/>
              <w:rPr>
                <w:rFonts w:cstheme="minorHAnsi"/>
                <w:color w:val="000000"/>
                <w:sz w:val="18"/>
                <w:szCs w:val="18"/>
              </w:rPr>
            </w:pPr>
            <w:r w:rsidRPr="00761055">
              <w:rPr>
                <w:rFonts w:cstheme="minorHAnsi"/>
                <w:color w:val="000000"/>
                <w:sz w:val="18"/>
                <w:szCs w:val="18"/>
              </w:rPr>
              <w:t>71,1%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EF" w14:textId="77777777" w:rsidR="00761055" w:rsidRPr="00761055" w:rsidRDefault="00761055">
            <w:pPr>
              <w:jc w:val="right"/>
              <w:rPr>
                <w:rFonts w:cstheme="minorHAnsi"/>
                <w:color w:val="000000"/>
                <w:sz w:val="18"/>
                <w:szCs w:val="18"/>
              </w:rPr>
            </w:pPr>
            <w:r w:rsidRPr="00761055">
              <w:rPr>
                <w:rFonts w:cstheme="minorHAnsi"/>
                <w:color w:val="000000"/>
                <w:sz w:val="18"/>
                <w:szCs w:val="18"/>
              </w:rPr>
              <w:t>67,6%</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F0" w14:textId="77777777" w:rsidR="00761055" w:rsidRPr="00761055" w:rsidRDefault="00761055">
            <w:pPr>
              <w:jc w:val="right"/>
              <w:rPr>
                <w:rFonts w:cstheme="minorHAnsi"/>
                <w:color w:val="000000"/>
                <w:sz w:val="18"/>
                <w:szCs w:val="18"/>
              </w:rPr>
            </w:pPr>
            <w:r w:rsidRPr="00761055">
              <w:rPr>
                <w:rFonts w:cstheme="minorHAnsi"/>
                <w:color w:val="000000"/>
                <w:sz w:val="18"/>
                <w:szCs w:val="18"/>
              </w:rPr>
              <w:t>72,9%</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F1" w14:textId="77777777" w:rsidR="00761055" w:rsidRPr="00761055" w:rsidRDefault="00761055">
            <w:pPr>
              <w:jc w:val="right"/>
              <w:rPr>
                <w:rFonts w:cstheme="minorHAnsi"/>
                <w:color w:val="000000"/>
                <w:sz w:val="18"/>
                <w:szCs w:val="18"/>
              </w:rPr>
            </w:pPr>
            <w:r w:rsidRPr="00761055">
              <w:rPr>
                <w:rFonts w:cstheme="minorHAnsi"/>
                <w:color w:val="000000"/>
                <w:sz w:val="18"/>
                <w:szCs w:val="18"/>
              </w:rPr>
              <w:t>68,0%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F2" w14:textId="77777777" w:rsidR="00761055" w:rsidRPr="00761055" w:rsidRDefault="00761055">
            <w:pPr>
              <w:jc w:val="right"/>
              <w:rPr>
                <w:rFonts w:cstheme="minorHAnsi"/>
                <w:color w:val="000000"/>
                <w:sz w:val="18"/>
                <w:szCs w:val="18"/>
              </w:rPr>
            </w:pPr>
            <w:r w:rsidRPr="00761055">
              <w:rPr>
                <w:rFonts w:cstheme="minorHAnsi"/>
                <w:color w:val="000000"/>
                <w:sz w:val="18"/>
                <w:szCs w:val="18"/>
              </w:rPr>
              <w:t>64,5%</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F3" w14:textId="77777777" w:rsidR="00761055" w:rsidRPr="00761055" w:rsidRDefault="00761055">
            <w:pPr>
              <w:jc w:val="right"/>
              <w:rPr>
                <w:rFonts w:cstheme="minorHAnsi"/>
                <w:color w:val="000000"/>
                <w:sz w:val="18"/>
                <w:szCs w:val="18"/>
              </w:rPr>
            </w:pPr>
            <w:r w:rsidRPr="00761055">
              <w:rPr>
                <w:rFonts w:cstheme="minorHAnsi"/>
                <w:color w:val="000000"/>
                <w:sz w:val="18"/>
                <w:szCs w:val="18"/>
              </w:rPr>
              <w:t>38,5%</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F4" w14:textId="77777777" w:rsidR="00761055" w:rsidRPr="00761055" w:rsidRDefault="00761055">
            <w:pPr>
              <w:jc w:val="right"/>
              <w:rPr>
                <w:rFonts w:cstheme="minorHAnsi"/>
                <w:color w:val="000000"/>
                <w:sz w:val="18"/>
                <w:szCs w:val="18"/>
              </w:rPr>
            </w:pPr>
            <w:r w:rsidRPr="00761055">
              <w:rPr>
                <w:rFonts w:cstheme="minorHAnsi"/>
                <w:color w:val="000000"/>
                <w:sz w:val="18"/>
                <w:szCs w:val="18"/>
              </w:rPr>
              <w:t>38,5%</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EF5" w14:textId="77777777" w:rsidR="00761055" w:rsidRPr="00761055" w:rsidRDefault="00761055">
            <w:pPr>
              <w:jc w:val="right"/>
              <w:rPr>
                <w:rFonts w:cstheme="minorHAnsi"/>
                <w:color w:val="000000"/>
                <w:sz w:val="18"/>
                <w:szCs w:val="18"/>
              </w:rPr>
            </w:pPr>
            <w:r w:rsidRPr="00761055">
              <w:rPr>
                <w:rFonts w:cstheme="minorHAnsi"/>
                <w:color w:val="000000"/>
                <w:sz w:val="18"/>
                <w:szCs w:val="18"/>
              </w:rPr>
              <w:t>15,6%</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F6" w14:textId="77777777" w:rsidR="00761055" w:rsidRPr="00761055" w:rsidRDefault="00761055">
            <w:pPr>
              <w:jc w:val="right"/>
              <w:rPr>
                <w:rFonts w:cstheme="minorHAnsi"/>
                <w:color w:val="000000"/>
                <w:sz w:val="18"/>
                <w:szCs w:val="18"/>
              </w:rPr>
            </w:pPr>
            <w:r w:rsidRPr="00761055">
              <w:rPr>
                <w:rFonts w:cstheme="minorHAnsi"/>
                <w:color w:val="000000"/>
                <w:sz w:val="18"/>
                <w:szCs w:val="18"/>
              </w:rPr>
              <w:t>6,4%</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F7" w14:textId="77777777" w:rsidR="00761055" w:rsidRPr="00761055" w:rsidRDefault="00761055">
            <w:pPr>
              <w:jc w:val="right"/>
              <w:rPr>
                <w:rFonts w:cstheme="minorHAnsi"/>
                <w:color w:val="000000"/>
                <w:sz w:val="18"/>
                <w:szCs w:val="18"/>
              </w:rPr>
            </w:pPr>
            <w:r w:rsidRPr="00761055">
              <w:rPr>
                <w:rFonts w:cstheme="minorHAnsi"/>
                <w:color w:val="000000"/>
                <w:sz w:val="18"/>
                <w:szCs w:val="18"/>
              </w:rPr>
              <w:t>10,4%</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F8" w14:textId="77777777" w:rsidR="00761055" w:rsidRPr="00761055" w:rsidRDefault="00761055">
            <w:pPr>
              <w:jc w:val="right"/>
              <w:rPr>
                <w:rFonts w:cstheme="minorHAnsi"/>
                <w:color w:val="000000"/>
                <w:sz w:val="18"/>
                <w:szCs w:val="18"/>
              </w:rPr>
            </w:pPr>
            <w:r w:rsidRPr="00761055">
              <w:rPr>
                <w:rFonts w:cstheme="minorHAnsi"/>
                <w:color w:val="000000"/>
                <w:sz w:val="18"/>
                <w:szCs w:val="18"/>
              </w:rPr>
              <w:t>5,4%</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EF9" w14:textId="77777777" w:rsidR="00761055" w:rsidRPr="00761055" w:rsidRDefault="00761055">
            <w:pPr>
              <w:jc w:val="right"/>
              <w:rPr>
                <w:rFonts w:cstheme="minorHAnsi"/>
                <w:color w:val="000000"/>
                <w:sz w:val="18"/>
                <w:szCs w:val="18"/>
              </w:rPr>
            </w:pPr>
            <w:r w:rsidRPr="00761055">
              <w:rPr>
                <w:rFonts w:cstheme="minorHAnsi"/>
                <w:color w:val="000000"/>
                <w:sz w:val="18"/>
                <w:szCs w:val="18"/>
              </w:rPr>
              <w:t>0,9%</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EFA" w14:textId="77777777" w:rsidR="00761055" w:rsidRPr="00761055" w:rsidRDefault="00761055">
            <w:pPr>
              <w:jc w:val="right"/>
              <w:rPr>
                <w:rFonts w:cstheme="minorHAnsi"/>
                <w:color w:val="000000"/>
                <w:sz w:val="18"/>
                <w:szCs w:val="18"/>
              </w:rPr>
            </w:pPr>
            <w:r w:rsidRPr="00761055">
              <w:rPr>
                <w:rFonts w:cstheme="minorHAnsi"/>
                <w:color w:val="000000"/>
                <w:sz w:val="18"/>
                <w:szCs w:val="18"/>
              </w:rPr>
              <w:t>-3,8%</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EFB" w14:textId="77777777" w:rsidR="00761055" w:rsidRPr="00761055" w:rsidRDefault="00761055">
            <w:pPr>
              <w:jc w:val="right"/>
              <w:rPr>
                <w:rFonts w:cstheme="minorHAnsi"/>
                <w:color w:val="000000"/>
                <w:sz w:val="18"/>
                <w:szCs w:val="18"/>
              </w:rPr>
            </w:pPr>
            <w:r w:rsidRPr="00761055">
              <w:rPr>
                <w:rFonts w:cstheme="minorHAnsi"/>
                <w:color w:val="000000"/>
                <w:sz w:val="18"/>
                <w:szCs w:val="18"/>
              </w:rPr>
              <w:t>0,1%</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FC" w14:textId="77777777" w:rsidR="00761055" w:rsidRPr="00761055" w:rsidRDefault="00761055">
            <w:pPr>
              <w:jc w:val="right"/>
              <w:rPr>
                <w:rFonts w:cstheme="minorHAnsi"/>
                <w:color w:val="000000"/>
                <w:sz w:val="18"/>
                <w:szCs w:val="18"/>
              </w:rPr>
            </w:pPr>
            <w:r w:rsidRPr="00761055">
              <w:rPr>
                <w:rFonts w:cstheme="minorHAnsi"/>
                <w:color w:val="000000"/>
                <w:sz w:val="18"/>
                <w:szCs w:val="18"/>
              </w:rPr>
              <w:t>96,4%</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EFD" w14:textId="77777777" w:rsidR="00761055" w:rsidRPr="00761055" w:rsidRDefault="00761055">
            <w:pPr>
              <w:jc w:val="right"/>
              <w:rPr>
                <w:rFonts w:cstheme="minorHAnsi"/>
                <w:color w:val="000000"/>
                <w:sz w:val="18"/>
                <w:szCs w:val="18"/>
              </w:rPr>
            </w:pPr>
            <w:r w:rsidRPr="00761055">
              <w:rPr>
                <w:rFonts w:cstheme="minorHAnsi"/>
                <w:color w:val="000000"/>
                <w:sz w:val="18"/>
                <w:szCs w:val="18"/>
              </w:rPr>
              <w:t>97,6%</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EFE" w14:textId="77777777" w:rsidR="00761055" w:rsidRPr="00761055" w:rsidRDefault="00761055">
            <w:pPr>
              <w:jc w:val="right"/>
              <w:rPr>
                <w:rFonts w:cstheme="minorHAnsi"/>
                <w:color w:val="000000"/>
                <w:sz w:val="18"/>
                <w:szCs w:val="18"/>
              </w:rPr>
            </w:pPr>
            <w:r w:rsidRPr="00761055">
              <w:rPr>
                <w:rFonts w:cstheme="minorHAnsi"/>
                <w:color w:val="000000"/>
                <w:sz w:val="18"/>
                <w:szCs w:val="18"/>
              </w:rPr>
              <w:t>95,2%</w:t>
            </w:r>
          </w:p>
        </w:tc>
      </w:tr>
      <w:tr w:rsidR="007A2E50" w:rsidRPr="00761055" w14:paraId="569F1F13" w14:textId="77777777" w:rsidTr="002F33BC">
        <w:trPr>
          <w:trHeight w:val="402"/>
        </w:trPr>
        <w:tc>
          <w:tcPr>
            <w:tcW w:w="2024" w:type="dxa"/>
            <w:tcBorders>
              <w:top w:val="nil"/>
              <w:left w:val="nil"/>
              <w:bottom w:val="nil"/>
              <w:right w:val="nil"/>
            </w:tcBorders>
            <w:shd w:val="clear" w:color="auto" w:fill="auto"/>
            <w:noWrap/>
            <w:vAlign w:val="bottom"/>
            <w:hideMark/>
          </w:tcPr>
          <w:p w14:paraId="569F1F00" w14:textId="77777777" w:rsidR="00761055" w:rsidRPr="00761055" w:rsidRDefault="00761055"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Gorinchem</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01" w14:textId="77777777" w:rsidR="00761055" w:rsidRPr="00761055" w:rsidRDefault="00761055">
            <w:pPr>
              <w:jc w:val="right"/>
              <w:rPr>
                <w:rFonts w:cstheme="minorHAnsi"/>
                <w:color w:val="000000"/>
                <w:sz w:val="18"/>
                <w:szCs w:val="18"/>
              </w:rPr>
            </w:pPr>
            <w:r w:rsidRPr="00761055">
              <w:rPr>
                <w:rFonts w:cstheme="minorHAnsi"/>
                <w:color w:val="000000"/>
                <w:sz w:val="18"/>
                <w:szCs w:val="18"/>
              </w:rPr>
              <w:t>114,0%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02" w14:textId="77777777" w:rsidR="00761055" w:rsidRPr="00761055" w:rsidRDefault="00761055">
            <w:pPr>
              <w:jc w:val="right"/>
              <w:rPr>
                <w:rFonts w:cstheme="minorHAnsi"/>
                <w:color w:val="000000"/>
                <w:sz w:val="18"/>
                <w:szCs w:val="18"/>
              </w:rPr>
            </w:pPr>
            <w:r w:rsidRPr="00761055">
              <w:rPr>
                <w:rFonts w:cstheme="minorHAnsi"/>
                <w:color w:val="000000"/>
                <w:sz w:val="18"/>
                <w:szCs w:val="18"/>
              </w:rPr>
              <w:t>129,0%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03" w14:textId="77777777" w:rsidR="00761055" w:rsidRPr="00761055" w:rsidRDefault="00761055">
            <w:pPr>
              <w:jc w:val="right"/>
              <w:rPr>
                <w:rFonts w:cstheme="minorHAnsi"/>
                <w:color w:val="000000"/>
                <w:sz w:val="18"/>
                <w:szCs w:val="18"/>
              </w:rPr>
            </w:pPr>
            <w:r w:rsidRPr="00761055">
              <w:rPr>
                <w:rFonts w:cstheme="minorHAnsi"/>
                <w:color w:val="000000"/>
                <w:sz w:val="18"/>
                <w:szCs w:val="18"/>
              </w:rPr>
              <w:t>123,0%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04" w14:textId="77777777" w:rsidR="00761055" w:rsidRPr="00761055" w:rsidRDefault="00761055">
            <w:pPr>
              <w:jc w:val="right"/>
              <w:rPr>
                <w:rFonts w:cstheme="minorHAnsi"/>
                <w:color w:val="000000"/>
                <w:sz w:val="18"/>
                <w:szCs w:val="18"/>
              </w:rPr>
            </w:pPr>
            <w:r w:rsidRPr="00761055">
              <w:rPr>
                <w:rFonts w:cstheme="minorHAnsi"/>
                <w:color w:val="000000"/>
                <w:sz w:val="18"/>
                <w:szCs w:val="18"/>
              </w:rPr>
              <w:t>110,0%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05" w14:textId="77777777" w:rsidR="00761055" w:rsidRPr="00761055" w:rsidRDefault="00761055">
            <w:pPr>
              <w:jc w:val="right"/>
              <w:rPr>
                <w:rFonts w:cstheme="minorHAnsi"/>
                <w:color w:val="000000"/>
                <w:sz w:val="18"/>
                <w:szCs w:val="18"/>
              </w:rPr>
            </w:pPr>
            <w:r w:rsidRPr="00761055">
              <w:rPr>
                <w:rFonts w:cstheme="minorHAnsi"/>
                <w:color w:val="000000"/>
                <w:sz w:val="18"/>
                <w:szCs w:val="18"/>
              </w:rPr>
              <w:t>128,0%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06" w14:textId="77777777" w:rsidR="00761055" w:rsidRPr="00761055" w:rsidRDefault="00761055">
            <w:pPr>
              <w:jc w:val="right"/>
              <w:rPr>
                <w:rFonts w:cstheme="minorHAnsi"/>
                <w:color w:val="000000"/>
                <w:sz w:val="18"/>
                <w:szCs w:val="18"/>
              </w:rPr>
            </w:pPr>
            <w:r w:rsidRPr="00761055">
              <w:rPr>
                <w:rFonts w:cstheme="minorHAnsi"/>
                <w:color w:val="000000"/>
                <w:sz w:val="18"/>
                <w:szCs w:val="18"/>
              </w:rPr>
              <w:t>122,0%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07" w14:textId="77777777" w:rsidR="00761055" w:rsidRPr="00761055" w:rsidRDefault="00761055">
            <w:pPr>
              <w:jc w:val="right"/>
              <w:rPr>
                <w:rFonts w:cstheme="minorHAnsi"/>
                <w:color w:val="000000"/>
                <w:sz w:val="18"/>
                <w:szCs w:val="18"/>
              </w:rPr>
            </w:pPr>
            <w:r w:rsidRPr="00761055">
              <w:rPr>
                <w:rFonts w:cstheme="minorHAnsi"/>
                <w:color w:val="000000"/>
                <w:sz w:val="18"/>
                <w:szCs w:val="18"/>
              </w:rPr>
              <w:t>14,0%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08" w14:textId="77777777" w:rsidR="00761055" w:rsidRPr="00761055" w:rsidRDefault="00761055">
            <w:pPr>
              <w:jc w:val="right"/>
              <w:rPr>
                <w:rFonts w:cstheme="minorHAnsi"/>
                <w:color w:val="000000"/>
                <w:sz w:val="18"/>
                <w:szCs w:val="18"/>
              </w:rPr>
            </w:pPr>
            <w:r w:rsidRPr="00761055">
              <w:rPr>
                <w:rFonts w:cstheme="minorHAnsi"/>
                <w:color w:val="000000"/>
                <w:sz w:val="18"/>
                <w:szCs w:val="18"/>
              </w:rPr>
              <w:t>16,0%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09" w14:textId="77777777" w:rsidR="00761055" w:rsidRPr="00761055" w:rsidRDefault="00761055">
            <w:pPr>
              <w:jc w:val="right"/>
              <w:rPr>
                <w:rFonts w:cstheme="minorHAnsi"/>
                <w:color w:val="000000"/>
                <w:sz w:val="18"/>
                <w:szCs w:val="18"/>
              </w:rPr>
            </w:pPr>
            <w:r w:rsidRPr="00761055">
              <w:rPr>
                <w:rFonts w:cstheme="minorHAnsi"/>
                <w:color w:val="000000"/>
                <w:sz w:val="18"/>
                <w:szCs w:val="18"/>
              </w:rPr>
              <w:t>16,0%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0A" w14:textId="77777777" w:rsidR="00761055" w:rsidRPr="00761055" w:rsidRDefault="00761055">
            <w:pPr>
              <w:jc w:val="right"/>
              <w:rPr>
                <w:rFonts w:cstheme="minorHAnsi"/>
                <w:color w:val="000000"/>
                <w:sz w:val="18"/>
                <w:szCs w:val="18"/>
              </w:rPr>
            </w:pPr>
            <w:r w:rsidRPr="00761055">
              <w:rPr>
                <w:rFonts w:cstheme="minorHAnsi"/>
                <w:color w:val="000000"/>
                <w:sz w:val="18"/>
                <w:szCs w:val="18"/>
              </w:rPr>
              <w:t>27,0%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0B" w14:textId="77777777" w:rsidR="00761055" w:rsidRPr="00761055" w:rsidRDefault="00761055">
            <w:pPr>
              <w:jc w:val="right"/>
              <w:rPr>
                <w:rFonts w:cstheme="minorHAnsi"/>
                <w:color w:val="000000"/>
                <w:sz w:val="18"/>
                <w:szCs w:val="18"/>
              </w:rPr>
            </w:pPr>
            <w:r w:rsidRPr="00761055">
              <w:rPr>
                <w:rFonts w:cstheme="minorHAnsi"/>
                <w:color w:val="000000"/>
                <w:sz w:val="18"/>
                <w:szCs w:val="18"/>
              </w:rPr>
              <w:t>31,0%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0C" w14:textId="77777777" w:rsidR="00761055" w:rsidRPr="00761055" w:rsidRDefault="00761055">
            <w:pPr>
              <w:jc w:val="right"/>
              <w:rPr>
                <w:rFonts w:cstheme="minorHAnsi"/>
                <w:color w:val="000000"/>
                <w:sz w:val="18"/>
                <w:szCs w:val="18"/>
              </w:rPr>
            </w:pPr>
            <w:r w:rsidRPr="00761055">
              <w:rPr>
                <w:rFonts w:cstheme="minorHAnsi"/>
                <w:color w:val="000000"/>
                <w:sz w:val="18"/>
                <w:szCs w:val="18"/>
              </w:rPr>
              <w:t>26,0%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0D" w14:textId="77777777" w:rsidR="00761055" w:rsidRPr="00761055" w:rsidRDefault="00761055">
            <w:pPr>
              <w:jc w:val="right"/>
              <w:rPr>
                <w:rFonts w:cstheme="minorHAnsi"/>
                <w:color w:val="000000"/>
                <w:sz w:val="18"/>
                <w:szCs w:val="18"/>
              </w:rPr>
            </w:pPr>
            <w:r w:rsidRPr="00761055">
              <w:rPr>
                <w:rFonts w:cstheme="minorHAnsi"/>
                <w:color w:val="000000"/>
                <w:sz w:val="18"/>
                <w:szCs w:val="18"/>
              </w:rPr>
              <w:t>5,0%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0E" w14:textId="77777777" w:rsidR="00761055" w:rsidRPr="00761055" w:rsidRDefault="00761055">
            <w:pPr>
              <w:jc w:val="right"/>
              <w:rPr>
                <w:rFonts w:cstheme="minorHAnsi"/>
                <w:color w:val="000000"/>
                <w:sz w:val="18"/>
                <w:szCs w:val="18"/>
              </w:rPr>
            </w:pPr>
            <w:r w:rsidRPr="00761055">
              <w:rPr>
                <w:rFonts w:cstheme="minorHAnsi"/>
                <w:color w:val="000000"/>
                <w:sz w:val="18"/>
                <w:szCs w:val="18"/>
              </w:rPr>
              <w:t>2,0%</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0F" w14:textId="77777777" w:rsidR="00761055" w:rsidRPr="00761055" w:rsidRDefault="00761055">
            <w:pPr>
              <w:jc w:val="right"/>
              <w:rPr>
                <w:rFonts w:cstheme="minorHAnsi"/>
                <w:color w:val="000000"/>
                <w:sz w:val="18"/>
                <w:szCs w:val="18"/>
              </w:rPr>
            </w:pPr>
            <w:r w:rsidRPr="00761055">
              <w:rPr>
                <w:rFonts w:cstheme="minorHAnsi"/>
                <w:color w:val="000000"/>
                <w:sz w:val="18"/>
                <w:szCs w:val="18"/>
              </w:rPr>
              <w:t>2,0%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10" w14:textId="77777777" w:rsidR="00761055" w:rsidRPr="00761055" w:rsidRDefault="00761055">
            <w:pPr>
              <w:jc w:val="right"/>
              <w:rPr>
                <w:rFonts w:cstheme="minorHAnsi"/>
                <w:color w:val="000000"/>
                <w:sz w:val="18"/>
                <w:szCs w:val="18"/>
              </w:rPr>
            </w:pPr>
            <w:r w:rsidRPr="00761055">
              <w:rPr>
                <w:rFonts w:cstheme="minorHAnsi"/>
                <w:color w:val="000000"/>
                <w:sz w:val="18"/>
                <w:szCs w:val="18"/>
              </w:rPr>
              <w:t>96,0%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11" w14:textId="77777777" w:rsidR="00761055" w:rsidRPr="00761055" w:rsidRDefault="00761055">
            <w:pPr>
              <w:jc w:val="right"/>
              <w:rPr>
                <w:rFonts w:cstheme="minorHAnsi"/>
                <w:color w:val="000000"/>
                <w:sz w:val="18"/>
                <w:szCs w:val="18"/>
              </w:rPr>
            </w:pPr>
            <w:r w:rsidRPr="00761055">
              <w:rPr>
                <w:rFonts w:cstheme="minorHAnsi"/>
                <w:color w:val="000000"/>
                <w:sz w:val="18"/>
                <w:szCs w:val="18"/>
              </w:rPr>
              <w:t>98,0%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12" w14:textId="77777777" w:rsidR="00761055" w:rsidRPr="00761055" w:rsidRDefault="00761055">
            <w:pPr>
              <w:jc w:val="right"/>
              <w:rPr>
                <w:rFonts w:cstheme="minorHAnsi"/>
                <w:color w:val="000000"/>
                <w:sz w:val="18"/>
                <w:szCs w:val="18"/>
              </w:rPr>
            </w:pPr>
            <w:r w:rsidRPr="00761055">
              <w:rPr>
                <w:rFonts w:cstheme="minorHAnsi"/>
                <w:color w:val="000000"/>
                <w:sz w:val="18"/>
                <w:szCs w:val="18"/>
              </w:rPr>
              <w:t>99,0%</w:t>
            </w:r>
          </w:p>
        </w:tc>
      </w:tr>
      <w:tr w:rsidR="007A2E50" w:rsidRPr="00761055" w14:paraId="569F1F1B" w14:textId="77777777" w:rsidTr="002F33BC">
        <w:trPr>
          <w:trHeight w:val="402"/>
        </w:trPr>
        <w:tc>
          <w:tcPr>
            <w:tcW w:w="2024" w:type="dxa"/>
            <w:tcBorders>
              <w:top w:val="nil"/>
              <w:left w:val="nil"/>
              <w:bottom w:val="nil"/>
              <w:right w:val="nil"/>
            </w:tcBorders>
            <w:shd w:val="clear" w:color="auto" w:fill="auto"/>
            <w:noWrap/>
            <w:vAlign w:val="bottom"/>
          </w:tcPr>
          <w:p w14:paraId="569F1F14" w14:textId="77777777" w:rsidR="00573680" w:rsidRPr="00761055" w:rsidRDefault="00573680" w:rsidP="0042408F">
            <w:pPr>
              <w:spacing w:line="240" w:lineRule="auto"/>
              <w:rPr>
                <w:rFonts w:eastAsia="Times New Roman" w:cstheme="minorHAnsi"/>
                <w:color w:val="000000"/>
                <w:sz w:val="18"/>
                <w:szCs w:val="18"/>
              </w:rPr>
            </w:pPr>
          </w:p>
        </w:tc>
        <w:tc>
          <w:tcPr>
            <w:tcW w:w="20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9F1F15" w14:textId="77777777" w:rsidR="00573680" w:rsidRPr="00761055" w:rsidRDefault="00573680" w:rsidP="00573680">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Netto schuldquote</w:t>
            </w:r>
          </w:p>
        </w:tc>
        <w:tc>
          <w:tcPr>
            <w:tcW w:w="20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9F1F16" w14:textId="77777777" w:rsidR="00573680" w:rsidRPr="00761055" w:rsidRDefault="00573680" w:rsidP="00573680">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Netto schuldquote gecorrigeerd voor doorgeleende gelden</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9F1F17" w14:textId="77777777" w:rsidR="00573680" w:rsidRPr="00761055" w:rsidRDefault="00573680" w:rsidP="00573680">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Solvabiliteit</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9F1F18" w14:textId="77777777" w:rsidR="00573680" w:rsidRPr="00761055" w:rsidRDefault="00573680" w:rsidP="00573680">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Grondexploitatie</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9F1F19" w14:textId="77777777" w:rsidR="00573680" w:rsidRPr="00761055" w:rsidRDefault="00573680" w:rsidP="00573680">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Structurele exploitatie ruimte</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9F1F1A" w14:textId="77777777" w:rsidR="00573680" w:rsidRPr="00761055" w:rsidRDefault="00573680" w:rsidP="00573680">
            <w:pPr>
              <w:spacing w:line="240" w:lineRule="auto"/>
              <w:jc w:val="center"/>
              <w:rPr>
                <w:rFonts w:eastAsia="Times New Roman" w:cstheme="minorHAnsi"/>
                <w:b/>
                <w:bCs/>
                <w:color w:val="000000"/>
                <w:sz w:val="18"/>
                <w:szCs w:val="18"/>
              </w:rPr>
            </w:pPr>
            <w:r w:rsidRPr="00761055">
              <w:rPr>
                <w:rFonts w:eastAsia="Times New Roman" w:cstheme="minorHAnsi"/>
                <w:b/>
                <w:bCs/>
                <w:color w:val="000000"/>
                <w:sz w:val="18"/>
                <w:szCs w:val="18"/>
              </w:rPr>
              <w:t>Belastingcapaciteit</w:t>
            </w:r>
          </w:p>
        </w:tc>
      </w:tr>
      <w:tr w:rsidR="007A2E50" w:rsidRPr="00761055" w14:paraId="569F1F2F" w14:textId="77777777" w:rsidTr="002F33BC">
        <w:trPr>
          <w:trHeight w:val="402"/>
        </w:trPr>
        <w:tc>
          <w:tcPr>
            <w:tcW w:w="2024" w:type="dxa"/>
            <w:tcBorders>
              <w:top w:val="nil"/>
              <w:left w:val="nil"/>
              <w:bottom w:val="nil"/>
              <w:right w:val="nil"/>
            </w:tcBorders>
            <w:shd w:val="clear" w:color="auto" w:fill="auto"/>
            <w:noWrap/>
            <w:vAlign w:val="bottom"/>
            <w:hideMark/>
          </w:tcPr>
          <w:p w14:paraId="569F1F1C"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Gouda</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1D" w14:textId="77777777" w:rsidR="00573680" w:rsidRPr="00761055" w:rsidRDefault="00573680">
            <w:pPr>
              <w:jc w:val="right"/>
              <w:rPr>
                <w:rFonts w:cstheme="minorHAnsi"/>
                <w:color w:val="000000"/>
                <w:sz w:val="18"/>
                <w:szCs w:val="18"/>
              </w:rPr>
            </w:pPr>
            <w:r w:rsidRPr="00761055">
              <w:rPr>
                <w:rFonts w:cstheme="minorHAnsi"/>
                <w:color w:val="000000"/>
                <w:sz w:val="18"/>
                <w:szCs w:val="18"/>
              </w:rPr>
              <w:t>135,7%</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1E" w14:textId="77777777" w:rsidR="00573680" w:rsidRPr="00761055" w:rsidRDefault="00573680">
            <w:pPr>
              <w:jc w:val="right"/>
              <w:rPr>
                <w:rFonts w:cstheme="minorHAnsi"/>
                <w:color w:val="000000"/>
                <w:sz w:val="18"/>
                <w:szCs w:val="18"/>
              </w:rPr>
            </w:pPr>
            <w:r w:rsidRPr="00761055">
              <w:rPr>
                <w:rFonts w:cstheme="minorHAnsi"/>
                <w:color w:val="000000"/>
                <w:sz w:val="18"/>
                <w:szCs w:val="18"/>
              </w:rPr>
              <w:t>142,0%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1F" w14:textId="77777777" w:rsidR="00573680" w:rsidRPr="00761055" w:rsidRDefault="00573680">
            <w:pPr>
              <w:jc w:val="right"/>
              <w:rPr>
                <w:rFonts w:cstheme="minorHAnsi"/>
                <w:color w:val="000000"/>
                <w:sz w:val="18"/>
                <w:szCs w:val="18"/>
              </w:rPr>
            </w:pPr>
            <w:r w:rsidRPr="00761055">
              <w:rPr>
                <w:rFonts w:cstheme="minorHAnsi"/>
                <w:color w:val="000000"/>
                <w:sz w:val="18"/>
                <w:szCs w:val="18"/>
              </w:rPr>
              <w:t>143,6%</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20" w14:textId="77777777" w:rsidR="00573680" w:rsidRPr="00761055" w:rsidRDefault="00573680">
            <w:pPr>
              <w:jc w:val="right"/>
              <w:rPr>
                <w:rFonts w:cstheme="minorHAnsi"/>
                <w:color w:val="000000"/>
                <w:sz w:val="18"/>
                <w:szCs w:val="18"/>
              </w:rPr>
            </w:pPr>
            <w:r w:rsidRPr="00761055">
              <w:rPr>
                <w:rFonts w:cstheme="minorHAnsi"/>
                <w:color w:val="000000"/>
                <w:sz w:val="18"/>
                <w:szCs w:val="18"/>
              </w:rPr>
              <w:t>143,4%</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21" w14:textId="77777777" w:rsidR="00573680" w:rsidRPr="00761055" w:rsidRDefault="00573680">
            <w:pPr>
              <w:jc w:val="right"/>
              <w:rPr>
                <w:rFonts w:cstheme="minorHAnsi"/>
                <w:color w:val="000000"/>
                <w:sz w:val="18"/>
                <w:szCs w:val="18"/>
              </w:rPr>
            </w:pPr>
            <w:r w:rsidRPr="00761055">
              <w:rPr>
                <w:rFonts w:cstheme="minorHAnsi"/>
                <w:color w:val="000000"/>
                <w:sz w:val="18"/>
                <w:szCs w:val="18"/>
              </w:rPr>
              <w:t>150,6%</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22" w14:textId="77777777" w:rsidR="00573680" w:rsidRPr="00761055" w:rsidRDefault="00573680">
            <w:pPr>
              <w:jc w:val="right"/>
              <w:rPr>
                <w:rFonts w:cstheme="minorHAnsi"/>
                <w:color w:val="000000"/>
                <w:sz w:val="18"/>
                <w:szCs w:val="18"/>
              </w:rPr>
            </w:pPr>
            <w:r w:rsidRPr="00761055">
              <w:rPr>
                <w:rFonts w:cstheme="minorHAnsi"/>
                <w:color w:val="000000"/>
                <w:sz w:val="18"/>
                <w:szCs w:val="18"/>
              </w:rPr>
              <w:t>152,9%</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23" w14:textId="77777777" w:rsidR="00573680" w:rsidRPr="00761055" w:rsidRDefault="00573680">
            <w:pPr>
              <w:jc w:val="right"/>
              <w:rPr>
                <w:rFonts w:cstheme="minorHAnsi"/>
                <w:color w:val="000000"/>
                <w:sz w:val="18"/>
                <w:szCs w:val="18"/>
              </w:rPr>
            </w:pPr>
            <w:r w:rsidRPr="00761055">
              <w:rPr>
                <w:rFonts w:cstheme="minorHAnsi"/>
                <w:color w:val="000000"/>
                <w:sz w:val="18"/>
                <w:szCs w:val="18"/>
              </w:rPr>
              <w:t>5,7%</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24" w14:textId="77777777" w:rsidR="00573680" w:rsidRPr="00761055" w:rsidRDefault="00573680">
            <w:pPr>
              <w:jc w:val="right"/>
              <w:rPr>
                <w:rFonts w:cstheme="minorHAnsi"/>
                <w:color w:val="000000"/>
                <w:sz w:val="18"/>
                <w:szCs w:val="18"/>
              </w:rPr>
            </w:pPr>
            <w:r w:rsidRPr="00761055">
              <w:rPr>
                <w:rFonts w:cstheme="minorHAnsi"/>
                <w:color w:val="000000"/>
                <w:sz w:val="18"/>
                <w:szCs w:val="18"/>
              </w:rPr>
              <w:t>5,4%</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25" w14:textId="77777777" w:rsidR="00573680" w:rsidRPr="00761055" w:rsidRDefault="00573680">
            <w:pPr>
              <w:jc w:val="right"/>
              <w:rPr>
                <w:rFonts w:cstheme="minorHAnsi"/>
                <w:color w:val="000000"/>
                <w:sz w:val="18"/>
                <w:szCs w:val="18"/>
              </w:rPr>
            </w:pPr>
            <w:r w:rsidRPr="00761055">
              <w:rPr>
                <w:rFonts w:cstheme="minorHAnsi"/>
                <w:color w:val="000000"/>
                <w:sz w:val="18"/>
                <w:szCs w:val="18"/>
              </w:rPr>
              <w:t>5,4%</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26" w14:textId="77777777" w:rsidR="00573680" w:rsidRPr="00761055" w:rsidRDefault="00573680">
            <w:pPr>
              <w:jc w:val="right"/>
              <w:rPr>
                <w:rFonts w:cstheme="minorHAnsi"/>
                <w:color w:val="000000"/>
                <w:sz w:val="18"/>
                <w:szCs w:val="18"/>
              </w:rPr>
            </w:pPr>
            <w:r w:rsidRPr="00761055">
              <w:rPr>
                <w:rFonts w:cstheme="minorHAnsi"/>
                <w:color w:val="000000"/>
                <w:sz w:val="18"/>
                <w:szCs w:val="18"/>
              </w:rPr>
              <w:t>17,7%</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27" w14:textId="77777777" w:rsidR="00573680" w:rsidRPr="00761055" w:rsidRDefault="00573680">
            <w:pPr>
              <w:jc w:val="right"/>
              <w:rPr>
                <w:rFonts w:cstheme="minorHAnsi"/>
                <w:color w:val="000000"/>
                <w:sz w:val="18"/>
                <w:szCs w:val="18"/>
              </w:rPr>
            </w:pPr>
            <w:r w:rsidRPr="00761055">
              <w:rPr>
                <w:rFonts w:cstheme="minorHAnsi"/>
                <w:color w:val="000000"/>
                <w:sz w:val="18"/>
                <w:szCs w:val="18"/>
              </w:rPr>
              <w:t>20,3%</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28" w14:textId="77777777" w:rsidR="00573680" w:rsidRPr="00761055" w:rsidRDefault="00573680">
            <w:pPr>
              <w:jc w:val="right"/>
              <w:rPr>
                <w:rFonts w:cstheme="minorHAnsi"/>
                <w:color w:val="000000"/>
                <w:sz w:val="18"/>
                <w:szCs w:val="18"/>
              </w:rPr>
            </w:pPr>
            <w:r w:rsidRPr="00761055">
              <w:rPr>
                <w:rFonts w:cstheme="minorHAnsi"/>
                <w:color w:val="000000"/>
                <w:sz w:val="18"/>
                <w:szCs w:val="18"/>
              </w:rPr>
              <w:t>19,4%</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29" w14:textId="77777777" w:rsidR="00573680" w:rsidRPr="00761055" w:rsidRDefault="00573680">
            <w:pPr>
              <w:jc w:val="right"/>
              <w:rPr>
                <w:rFonts w:cstheme="minorHAnsi"/>
                <w:color w:val="000000"/>
                <w:sz w:val="18"/>
                <w:szCs w:val="18"/>
              </w:rPr>
            </w:pPr>
            <w:r w:rsidRPr="00761055">
              <w:rPr>
                <w:rFonts w:cstheme="minorHAnsi"/>
                <w:color w:val="000000"/>
                <w:sz w:val="18"/>
                <w:szCs w:val="18"/>
              </w:rPr>
              <w:t>3,6%</w:t>
            </w:r>
          </w:p>
        </w:tc>
        <w:tc>
          <w:tcPr>
            <w:tcW w:w="64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2A" w14:textId="77777777" w:rsidR="00573680" w:rsidRPr="00761055" w:rsidRDefault="00573680">
            <w:pPr>
              <w:jc w:val="right"/>
              <w:rPr>
                <w:rFonts w:cstheme="minorHAnsi"/>
                <w:color w:val="000000"/>
                <w:sz w:val="18"/>
                <w:szCs w:val="18"/>
              </w:rPr>
            </w:pPr>
            <w:r w:rsidRPr="00761055">
              <w:rPr>
                <w:rFonts w:cstheme="minorHAnsi"/>
                <w:color w:val="000000"/>
                <w:sz w:val="18"/>
                <w:szCs w:val="18"/>
              </w:rPr>
              <w:t>0,0%</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2B" w14:textId="77777777" w:rsidR="00573680" w:rsidRPr="00761055" w:rsidRDefault="00573680">
            <w:pPr>
              <w:jc w:val="right"/>
              <w:rPr>
                <w:rFonts w:cstheme="minorHAnsi"/>
                <w:color w:val="000000"/>
                <w:sz w:val="18"/>
                <w:szCs w:val="18"/>
              </w:rPr>
            </w:pPr>
            <w:r w:rsidRPr="00761055">
              <w:rPr>
                <w:rFonts w:cstheme="minorHAnsi"/>
                <w:color w:val="000000"/>
                <w:sz w:val="18"/>
                <w:szCs w:val="18"/>
              </w:rPr>
              <w:t>0,4%</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2C" w14:textId="77777777" w:rsidR="00573680" w:rsidRPr="00761055" w:rsidRDefault="00573680">
            <w:pPr>
              <w:jc w:val="right"/>
              <w:rPr>
                <w:rFonts w:cstheme="minorHAnsi"/>
                <w:color w:val="000000"/>
                <w:sz w:val="18"/>
                <w:szCs w:val="18"/>
              </w:rPr>
            </w:pPr>
            <w:r w:rsidRPr="00761055">
              <w:rPr>
                <w:rFonts w:cstheme="minorHAnsi"/>
                <w:color w:val="000000"/>
                <w:sz w:val="18"/>
                <w:szCs w:val="18"/>
              </w:rPr>
              <w:t>124,0%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2D" w14:textId="77777777" w:rsidR="00573680" w:rsidRPr="00761055" w:rsidRDefault="00573680">
            <w:pPr>
              <w:jc w:val="right"/>
              <w:rPr>
                <w:rFonts w:cstheme="minorHAnsi"/>
                <w:color w:val="000000"/>
                <w:sz w:val="18"/>
                <w:szCs w:val="18"/>
              </w:rPr>
            </w:pPr>
            <w:r w:rsidRPr="00761055">
              <w:rPr>
                <w:rFonts w:cstheme="minorHAnsi"/>
                <w:color w:val="000000"/>
                <w:sz w:val="18"/>
                <w:szCs w:val="18"/>
              </w:rPr>
              <w:t>131,0%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2E" w14:textId="77777777" w:rsidR="00573680" w:rsidRPr="00761055" w:rsidRDefault="00573680">
            <w:pPr>
              <w:jc w:val="right"/>
              <w:rPr>
                <w:rFonts w:cstheme="minorHAnsi"/>
                <w:color w:val="000000"/>
                <w:sz w:val="18"/>
                <w:szCs w:val="18"/>
              </w:rPr>
            </w:pPr>
            <w:r w:rsidRPr="00761055">
              <w:rPr>
                <w:rFonts w:cstheme="minorHAnsi"/>
                <w:color w:val="000000"/>
                <w:sz w:val="18"/>
                <w:szCs w:val="18"/>
              </w:rPr>
              <w:t>134,0%</w:t>
            </w:r>
          </w:p>
        </w:tc>
      </w:tr>
      <w:tr w:rsidR="007A2E50" w:rsidRPr="00761055" w14:paraId="569F1F43" w14:textId="77777777" w:rsidTr="002F33BC">
        <w:trPr>
          <w:trHeight w:val="402"/>
        </w:trPr>
        <w:tc>
          <w:tcPr>
            <w:tcW w:w="2024" w:type="dxa"/>
            <w:tcBorders>
              <w:top w:val="nil"/>
              <w:left w:val="nil"/>
              <w:bottom w:val="nil"/>
              <w:right w:val="nil"/>
            </w:tcBorders>
            <w:shd w:val="clear" w:color="auto" w:fill="auto"/>
            <w:noWrap/>
            <w:vAlign w:val="bottom"/>
            <w:hideMark/>
          </w:tcPr>
          <w:p w14:paraId="569F1F30"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Hardinxveld-Giessendam</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31"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32"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33" w14:textId="77777777" w:rsidR="00573680" w:rsidRPr="00761055" w:rsidRDefault="00573680">
            <w:pPr>
              <w:jc w:val="right"/>
              <w:rPr>
                <w:rFonts w:cstheme="minorHAnsi"/>
                <w:color w:val="000000"/>
                <w:sz w:val="18"/>
                <w:szCs w:val="18"/>
              </w:rPr>
            </w:pPr>
            <w:r w:rsidRPr="00761055">
              <w:rPr>
                <w:rFonts w:cstheme="minorHAnsi"/>
                <w:color w:val="000000"/>
                <w:sz w:val="18"/>
                <w:szCs w:val="18"/>
              </w:rPr>
              <w:t>123,0%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34"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35"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36" w14:textId="77777777" w:rsidR="00573680" w:rsidRPr="00761055" w:rsidRDefault="00573680">
            <w:pPr>
              <w:jc w:val="right"/>
              <w:rPr>
                <w:rFonts w:cstheme="minorHAnsi"/>
                <w:color w:val="000000"/>
                <w:sz w:val="18"/>
                <w:szCs w:val="18"/>
              </w:rPr>
            </w:pPr>
            <w:r w:rsidRPr="00761055">
              <w:rPr>
                <w:rFonts w:cstheme="minorHAnsi"/>
                <w:color w:val="000000"/>
                <w:sz w:val="18"/>
                <w:szCs w:val="18"/>
              </w:rPr>
              <w:t>123,0%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37"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38"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39" w14:textId="77777777" w:rsidR="00573680" w:rsidRPr="00761055" w:rsidRDefault="00573680">
            <w:pPr>
              <w:jc w:val="right"/>
              <w:rPr>
                <w:rFonts w:cstheme="minorHAnsi"/>
                <w:color w:val="000000"/>
                <w:sz w:val="18"/>
                <w:szCs w:val="18"/>
              </w:rPr>
            </w:pPr>
            <w:r w:rsidRPr="00761055">
              <w:rPr>
                <w:rFonts w:cstheme="minorHAnsi"/>
                <w:color w:val="000000"/>
                <w:sz w:val="18"/>
                <w:szCs w:val="18"/>
              </w:rPr>
              <w:t>26,0%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3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3B"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3C" w14:textId="77777777" w:rsidR="00573680" w:rsidRPr="00761055" w:rsidRDefault="00573680">
            <w:pPr>
              <w:jc w:val="right"/>
              <w:rPr>
                <w:rFonts w:cstheme="minorHAnsi"/>
                <w:color w:val="000000"/>
                <w:sz w:val="18"/>
                <w:szCs w:val="18"/>
              </w:rPr>
            </w:pPr>
            <w:r w:rsidRPr="00761055">
              <w:rPr>
                <w:rFonts w:cstheme="minorHAnsi"/>
                <w:color w:val="000000"/>
                <w:sz w:val="18"/>
                <w:szCs w:val="18"/>
              </w:rPr>
              <w:t>25,7%</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3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3E"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3F" w14:textId="77777777" w:rsidR="00573680" w:rsidRPr="00761055" w:rsidRDefault="00573680">
            <w:pPr>
              <w:jc w:val="right"/>
              <w:rPr>
                <w:rFonts w:cstheme="minorHAnsi"/>
                <w:color w:val="000000"/>
                <w:sz w:val="18"/>
                <w:szCs w:val="18"/>
              </w:rPr>
            </w:pPr>
            <w:r w:rsidRPr="00761055">
              <w:rPr>
                <w:rFonts w:cstheme="minorHAnsi"/>
                <w:color w:val="000000"/>
                <w:sz w:val="18"/>
                <w:szCs w:val="18"/>
              </w:rPr>
              <w:t>0,1%</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40"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41"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42" w14:textId="77777777" w:rsidR="00573680" w:rsidRPr="00761055" w:rsidRDefault="00573680">
            <w:pPr>
              <w:jc w:val="right"/>
              <w:rPr>
                <w:rFonts w:cstheme="minorHAnsi"/>
                <w:color w:val="000000"/>
                <w:sz w:val="18"/>
                <w:szCs w:val="18"/>
              </w:rPr>
            </w:pPr>
            <w:r w:rsidRPr="00761055">
              <w:rPr>
                <w:rFonts w:cstheme="minorHAnsi"/>
                <w:color w:val="000000"/>
                <w:sz w:val="18"/>
                <w:szCs w:val="18"/>
              </w:rPr>
              <w:t>109,9%</w:t>
            </w:r>
          </w:p>
        </w:tc>
      </w:tr>
      <w:tr w:rsidR="007A2E50" w:rsidRPr="00761055" w14:paraId="569F1F57" w14:textId="77777777" w:rsidTr="002F33BC">
        <w:trPr>
          <w:trHeight w:val="402"/>
        </w:trPr>
        <w:tc>
          <w:tcPr>
            <w:tcW w:w="2024" w:type="dxa"/>
            <w:tcBorders>
              <w:top w:val="nil"/>
              <w:left w:val="nil"/>
              <w:bottom w:val="nil"/>
              <w:right w:val="nil"/>
            </w:tcBorders>
            <w:shd w:val="clear" w:color="auto" w:fill="auto"/>
            <w:noWrap/>
            <w:vAlign w:val="bottom"/>
            <w:hideMark/>
          </w:tcPr>
          <w:p w14:paraId="569F1F44"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Hellevoetsluis</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45" w14:textId="77777777" w:rsidR="00573680" w:rsidRPr="00761055" w:rsidRDefault="00573680">
            <w:pPr>
              <w:jc w:val="right"/>
              <w:rPr>
                <w:rFonts w:cstheme="minorHAnsi"/>
                <w:color w:val="000000"/>
                <w:sz w:val="18"/>
                <w:szCs w:val="18"/>
              </w:rPr>
            </w:pPr>
            <w:r w:rsidRPr="00761055">
              <w:rPr>
                <w:rFonts w:cstheme="minorHAnsi"/>
                <w:color w:val="000000"/>
                <w:sz w:val="18"/>
                <w:szCs w:val="18"/>
              </w:rPr>
              <w:t>80,8%</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4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47" w14:textId="77777777" w:rsidR="00573680" w:rsidRPr="00761055" w:rsidRDefault="00573680">
            <w:pPr>
              <w:jc w:val="right"/>
              <w:rPr>
                <w:rFonts w:cstheme="minorHAnsi"/>
                <w:color w:val="000000"/>
                <w:sz w:val="18"/>
                <w:szCs w:val="18"/>
              </w:rPr>
            </w:pPr>
            <w:r w:rsidRPr="00761055">
              <w:rPr>
                <w:rFonts w:cstheme="minorHAnsi"/>
                <w:color w:val="000000"/>
                <w:sz w:val="18"/>
                <w:szCs w:val="18"/>
              </w:rPr>
              <w:t>75,2%</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48" w14:textId="77777777" w:rsidR="00573680" w:rsidRPr="00761055" w:rsidRDefault="00573680">
            <w:pPr>
              <w:jc w:val="right"/>
              <w:rPr>
                <w:rFonts w:cstheme="minorHAnsi"/>
                <w:color w:val="000000"/>
                <w:sz w:val="18"/>
                <w:szCs w:val="18"/>
              </w:rPr>
            </w:pPr>
            <w:r w:rsidRPr="00761055">
              <w:rPr>
                <w:rFonts w:cstheme="minorHAnsi"/>
                <w:color w:val="000000"/>
                <w:sz w:val="18"/>
                <w:szCs w:val="18"/>
              </w:rPr>
              <w:t>77,4%</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49"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4A" w14:textId="77777777" w:rsidR="00573680" w:rsidRPr="00761055" w:rsidRDefault="00573680">
            <w:pPr>
              <w:jc w:val="right"/>
              <w:rPr>
                <w:rFonts w:cstheme="minorHAnsi"/>
                <w:color w:val="000000"/>
                <w:sz w:val="18"/>
                <w:szCs w:val="18"/>
              </w:rPr>
            </w:pPr>
            <w:r w:rsidRPr="00761055">
              <w:rPr>
                <w:rFonts w:cstheme="minorHAnsi"/>
                <w:color w:val="000000"/>
                <w:sz w:val="18"/>
                <w:szCs w:val="18"/>
              </w:rPr>
              <w:t>72,0%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4B" w14:textId="77777777" w:rsidR="00573680" w:rsidRPr="00761055" w:rsidRDefault="00573680">
            <w:pPr>
              <w:jc w:val="right"/>
              <w:rPr>
                <w:rFonts w:cstheme="minorHAnsi"/>
                <w:color w:val="000000"/>
                <w:sz w:val="18"/>
                <w:szCs w:val="18"/>
              </w:rPr>
            </w:pPr>
            <w:r w:rsidRPr="00761055">
              <w:rPr>
                <w:rFonts w:cstheme="minorHAnsi"/>
                <w:color w:val="000000"/>
                <w:sz w:val="18"/>
                <w:szCs w:val="18"/>
              </w:rPr>
              <w:t>18,8%</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4C"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4D" w14:textId="77777777" w:rsidR="00573680" w:rsidRPr="00761055" w:rsidRDefault="00573680">
            <w:pPr>
              <w:jc w:val="right"/>
              <w:rPr>
                <w:rFonts w:cstheme="minorHAnsi"/>
                <w:color w:val="000000"/>
                <w:sz w:val="18"/>
                <w:szCs w:val="18"/>
              </w:rPr>
            </w:pPr>
            <w:r w:rsidRPr="00761055">
              <w:rPr>
                <w:rFonts w:cstheme="minorHAnsi"/>
                <w:color w:val="000000"/>
                <w:sz w:val="18"/>
                <w:szCs w:val="18"/>
              </w:rPr>
              <w:t>16,5%</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4E" w14:textId="77777777" w:rsidR="00573680" w:rsidRPr="00761055" w:rsidRDefault="00573680">
            <w:pPr>
              <w:jc w:val="right"/>
              <w:rPr>
                <w:rFonts w:cstheme="minorHAnsi"/>
                <w:color w:val="000000"/>
                <w:sz w:val="18"/>
                <w:szCs w:val="18"/>
              </w:rPr>
            </w:pPr>
            <w:r w:rsidRPr="00761055">
              <w:rPr>
                <w:rFonts w:cstheme="minorHAnsi"/>
                <w:color w:val="000000"/>
                <w:sz w:val="18"/>
                <w:szCs w:val="18"/>
              </w:rPr>
              <w:t>4,7%</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4F"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50" w14:textId="77777777" w:rsidR="00573680" w:rsidRPr="00761055" w:rsidRDefault="00573680">
            <w:pPr>
              <w:jc w:val="right"/>
              <w:rPr>
                <w:rFonts w:cstheme="minorHAnsi"/>
                <w:color w:val="000000"/>
                <w:sz w:val="18"/>
                <w:szCs w:val="18"/>
              </w:rPr>
            </w:pPr>
            <w:r w:rsidRPr="00761055">
              <w:rPr>
                <w:rFonts w:cstheme="minorHAnsi"/>
                <w:color w:val="000000"/>
                <w:sz w:val="18"/>
                <w:szCs w:val="18"/>
              </w:rPr>
              <w:t>4,4%</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51" w14:textId="77777777" w:rsidR="00573680" w:rsidRPr="00761055" w:rsidRDefault="00573680">
            <w:pPr>
              <w:jc w:val="right"/>
              <w:rPr>
                <w:rFonts w:cstheme="minorHAnsi"/>
                <w:color w:val="000000"/>
                <w:sz w:val="18"/>
                <w:szCs w:val="18"/>
              </w:rPr>
            </w:pPr>
            <w:r w:rsidRPr="00761055">
              <w:rPr>
                <w:rFonts w:cstheme="minorHAnsi"/>
                <w:color w:val="000000"/>
                <w:sz w:val="18"/>
                <w:szCs w:val="18"/>
              </w:rPr>
              <w:t>3,5%</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52"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53" w14:textId="77777777" w:rsidR="00573680" w:rsidRPr="00761055" w:rsidRDefault="00573680">
            <w:pPr>
              <w:jc w:val="right"/>
              <w:rPr>
                <w:rFonts w:cstheme="minorHAnsi"/>
                <w:color w:val="000000"/>
                <w:sz w:val="18"/>
                <w:szCs w:val="18"/>
              </w:rPr>
            </w:pPr>
            <w:r w:rsidRPr="00761055">
              <w:rPr>
                <w:rFonts w:cstheme="minorHAnsi"/>
                <w:color w:val="000000"/>
                <w:sz w:val="18"/>
                <w:szCs w:val="18"/>
              </w:rPr>
              <w:t>2,6%</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54" w14:textId="77777777" w:rsidR="00573680" w:rsidRPr="00761055" w:rsidRDefault="00573680">
            <w:pPr>
              <w:jc w:val="right"/>
              <w:rPr>
                <w:rFonts w:cstheme="minorHAnsi"/>
                <w:color w:val="000000"/>
                <w:sz w:val="18"/>
                <w:szCs w:val="18"/>
              </w:rPr>
            </w:pPr>
            <w:r w:rsidRPr="00761055">
              <w:rPr>
                <w:rFonts w:cstheme="minorHAnsi"/>
                <w:color w:val="000000"/>
                <w:sz w:val="18"/>
                <w:szCs w:val="18"/>
              </w:rPr>
              <w:t>72,8%</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55"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56" w14:textId="77777777" w:rsidR="00573680" w:rsidRPr="00761055" w:rsidRDefault="00573680">
            <w:pPr>
              <w:jc w:val="right"/>
              <w:rPr>
                <w:rFonts w:cstheme="minorHAnsi"/>
                <w:color w:val="000000"/>
                <w:sz w:val="18"/>
                <w:szCs w:val="18"/>
              </w:rPr>
            </w:pPr>
            <w:r w:rsidRPr="00761055">
              <w:rPr>
                <w:rFonts w:cstheme="minorHAnsi"/>
                <w:color w:val="000000"/>
                <w:sz w:val="18"/>
                <w:szCs w:val="18"/>
              </w:rPr>
              <w:t>76,0%</w:t>
            </w:r>
          </w:p>
        </w:tc>
      </w:tr>
      <w:tr w:rsidR="007A2E50" w:rsidRPr="00761055" w14:paraId="569F1F6B" w14:textId="77777777" w:rsidTr="002F33BC">
        <w:trPr>
          <w:trHeight w:val="402"/>
        </w:trPr>
        <w:tc>
          <w:tcPr>
            <w:tcW w:w="2024" w:type="dxa"/>
            <w:tcBorders>
              <w:top w:val="nil"/>
              <w:left w:val="nil"/>
              <w:bottom w:val="nil"/>
              <w:right w:val="nil"/>
            </w:tcBorders>
            <w:shd w:val="clear" w:color="auto" w:fill="auto"/>
            <w:noWrap/>
            <w:vAlign w:val="bottom"/>
            <w:hideMark/>
          </w:tcPr>
          <w:p w14:paraId="569F1F58"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Hendrik-Ido-Ambacht</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59" w14:textId="77777777" w:rsidR="00573680" w:rsidRPr="00761055" w:rsidRDefault="00573680">
            <w:pPr>
              <w:jc w:val="right"/>
              <w:rPr>
                <w:rFonts w:cstheme="minorHAnsi"/>
                <w:color w:val="000000"/>
                <w:sz w:val="18"/>
                <w:szCs w:val="18"/>
              </w:rPr>
            </w:pPr>
            <w:r w:rsidRPr="00761055">
              <w:rPr>
                <w:rFonts w:cstheme="minorHAnsi"/>
                <w:color w:val="000000"/>
                <w:sz w:val="18"/>
                <w:szCs w:val="18"/>
              </w:rPr>
              <w:t>246,0%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5A" w14:textId="77777777" w:rsidR="00573680" w:rsidRPr="00761055" w:rsidRDefault="00573680">
            <w:pPr>
              <w:jc w:val="right"/>
              <w:rPr>
                <w:rFonts w:cstheme="minorHAnsi"/>
                <w:color w:val="000000"/>
                <w:sz w:val="18"/>
                <w:szCs w:val="18"/>
              </w:rPr>
            </w:pPr>
            <w:r w:rsidRPr="00761055">
              <w:rPr>
                <w:rFonts w:cstheme="minorHAnsi"/>
                <w:color w:val="000000"/>
                <w:sz w:val="18"/>
                <w:szCs w:val="18"/>
              </w:rPr>
              <w:t>207,0%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5B" w14:textId="77777777" w:rsidR="00573680" w:rsidRPr="00761055" w:rsidRDefault="00573680">
            <w:pPr>
              <w:jc w:val="right"/>
              <w:rPr>
                <w:rFonts w:cstheme="minorHAnsi"/>
                <w:color w:val="000000"/>
                <w:sz w:val="18"/>
                <w:szCs w:val="18"/>
              </w:rPr>
            </w:pPr>
            <w:r w:rsidRPr="00761055">
              <w:rPr>
                <w:rFonts w:cstheme="minorHAnsi"/>
                <w:color w:val="000000"/>
                <w:sz w:val="18"/>
                <w:szCs w:val="18"/>
              </w:rPr>
              <w:t>185,0%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5C" w14:textId="77777777" w:rsidR="00573680" w:rsidRPr="00761055" w:rsidRDefault="00573680">
            <w:pPr>
              <w:jc w:val="right"/>
              <w:rPr>
                <w:rFonts w:cstheme="minorHAnsi"/>
                <w:color w:val="000000"/>
                <w:sz w:val="18"/>
                <w:szCs w:val="18"/>
              </w:rPr>
            </w:pPr>
            <w:r w:rsidRPr="00761055">
              <w:rPr>
                <w:rFonts w:cstheme="minorHAnsi"/>
                <w:color w:val="000000"/>
                <w:sz w:val="18"/>
                <w:szCs w:val="18"/>
              </w:rPr>
              <w:t>230,0%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5D" w14:textId="77777777" w:rsidR="00573680" w:rsidRPr="00761055" w:rsidRDefault="00573680">
            <w:pPr>
              <w:jc w:val="right"/>
              <w:rPr>
                <w:rFonts w:cstheme="minorHAnsi"/>
                <w:color w:val="000000"/>
                <w:sz w:val="18"/>
                <w:szCs w:val="18"/>
              </w:rPr>
            </w:pPr>
            <w:r w:rsidRPr="00761055">
              <w:rPr>
                <w:rFonts w:cstheme="minorHAnsi"/>
                <w:color w:val="000000"/>
                <w:sz w:val="18"/>
                <w:szCs w:val="18"/>
              </w:rPr>
              <w:t>194,0%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5E" w14:textId="77777777" w:rsidR="00573680" w:rsidRPr="00761055" w:rsidRDefault="00573680">
            <w:pPr>
              <w:jc w:val="right"/>
              <w:rPr>
                <w:rFonts w:cstheme="minorHAnsi"/>
                <w:color w:val="000000"/>
                <w:sz w:val="18"/>
                <w:szCs w:val="18"/>
              </w:rPr>
            </w:pPr>
            <w:r w:rsidRPr="00761055">
              <w:rPr>
                <w:rFonts w:cstheme="minorHAnsi"/>
                <w:color w:val="000000"/>
                <w:sz w:val="18"/>
                <w:szCs w:val="18"/>
              </w:rPr>
              <w:t>173,0%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5F" w14:textId="77777777" w:rsidR="00573680" w:rsidRPr="00761055" w:rsidRDefault="00573680">
            <w:pPr>
              <w:jc w:val="right"/>
              <w:rPr>
                <w:rFonts w:cstheme="minorHAnsi"/>
                <w:color w:val="000000"/>
                <w:sz w:val="18"/>
                <w:szCs w:val="18"/>
              </w:rPr>
            </w:pPr>
            <w:r w:rsidRPr="00761055">
              <w:rPr>
                <w:rFonts w:cstheme="minorHAnsi"/>
                <w:color w:val="000000"/>
                <w:sz w:val="18"/>
                <w:szCs w:val="18"/>
              </w:rPr>
              <w:t>10,0%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60" w14:textId="77777777" w:rsidR="00573680" w:rsidRPr="00761055" w:rsidRDefault="00573680">
            <w:pPr>
              <w:jc w:val="right"/>
              <w:rPr>
                <w:rFonts w:cstheme="minorHAnsi"/>
                <w:color w:val="000000"/>
                <w:sz w:val="18"/>
                <w:szCs w:val="18"/>
              </w:rPr>
            </w:pPr>
            <w:r w:rsidRPr="00761055">
              <w:rPr>
                <w:rFonts w:cstheme="minorHAnsi"/>
                <w:color w:val="000000"/>
                <w:sz w:val="18"/>
                <w:szCs w:val="18"/>
              </w:rPr>
              <w:t>11,0%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61" w14:textId="77777777" w:rsidR="00573680" w:rsidRPr="00761055" w:rsidRDefault="00573680">
            <w:pPr>
              <w:jc w:val="right"/>
              <w:rPr>
                <w:rFonts w:cstheme="minorHAnsi"/>
                <w:color w:val="000000"/>
                <w:sz w:val="18"/>
                <w:szCs w:val="18"/>
              </w:rPr>
            </w:pPr>
            <w:r w:rsidRPr="00761055">
              <w:rPr>
                <w:rFonts w:cstheme="minorHAnsi"/>
                <w:color w:val="000000"/>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62" w14:textId="77777777" w:rsidR="00573680" w:rsidRPr="00761055" w:rsidRDefault="00573680">
            <w:pPr>
              <w:jc w:val="right"/>
              <w:rPr>
                <w:rFonts w:cstheme="minorHAnsi"/>
                <w:color w:val="000000"/>
                <w:sz w:val="18"/>
                <w:szCs w:val="18"/>
              </w:rPr>
            </w:pPr>
            <w:r w:rsidRPr="00761055">
              <w:rPr>
                <w:rFonts w:cstheme="minorHAnsi"/>
                <w:color w:val="000000"/>
                <w:sz w:val="18"/>
                <w:szCs w:val="18"/>
              </w:rPr>
              <w:t>154,0%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63" w14:textId="77777777" w:rsidR="00573680" w:rsidRPr="00761055" w:rsidRDefault="00573680">
            <w:pPr>
              <w:jc w:val="right"/>
              <w:rPr>
                <w:rFonts w:cstheme="minorHAnsi"/>
                <w:color w:val="000000"/>
                <w:sz w:val="18"/>
                <w:szCs w:val="18"/>
              </w:rPr>
            </w:pPr>
            <w:r w:rsidRPr="00761055">
              <w:rPr>
                <w:rFonts w:cstheme="minorHAnsi"/>
                <w:color w:val="000000"/>
                <w:sz w:val="18"/>
                <w:szCs w:val="18"/>
              </w:rPr>
              <w:t>127,0%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64" w14:textId="77777777" w:rsidR="00573680" w:rsidRPr="00761055" w:rsidRDefault="00573680">
            <w:pPr>
              <w:jc w:val="right"/>
              <w:rPr>
                <w:rFonts w:cstheme="minorHAnsi"/>
                <w:color w:val="000000"/>
                <w:sz w:val="18"/>
                <w:szCs w:val="18"/>
              </w:rPr>
            </w:pPr>
            <w:r w:rsidRPr="00761055">
              <w:rPr>
                <w:rFonts w:cstheme="minorHAnsi"/>
                <w:color w:val="000000"/>
                <w:sz w:val="18"/>
                <w:szCs w:val="18"/>
              </w:rPr>
              <w:t>112,0%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65" w14:textId="77777777" w:rsidR="00573680" w:rsidRPr="00761055" w:rsidRDefault="00573680">
            <w:pPr>
              <w:jc w:val="right"/>
              <w:rPr>
                <w:rFonts w:cstheme="minorHAnsi"/>
                <w:color w:val="000000"/>
                <w:sz w:val="18"/>
                <w:szCs w:val="18"/>
              </w:rPr>
            </w:pPr>
            <w:r w:rsidRPr="00761055">
              <w:rPr>
                <w:rFonts w:cstheme="minorHAnsi"/>
                <w:color w:val="000000"/>
                <w:sz w:val="18"/>
                <w:szCs w:val="18"/>
              </w:rPr>
              <w:t>11,4%</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66"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67" w14:textId="77777777" w:rsidR="00573680" w:rsidRPr="00761055" w:rsidRDefault="00573680">
            <w:pPr>
              <w:jc w:val="right"/>
              <w:rPr>
                <w:rFonts w:cstheme="minorHAnsi"/>
                <w:color w:val="000000"/>
                <w:sz w:val="18"/>
                <w:szCs w:val="18"/>
              </w:rPr>
            </w:pPr>
            <w:r w:rsidRPr="00761055">
              <w:rPr>
                <w:rFonts w:cstheme="minorHAnsi"/>
                <w:color w:val="000000"/>
                <w:sz w:val="18"/>
                <w:szCs w:val="18"/>
              </w:rPr>
              <w:t>0,6%</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68" w14:textId="77777777" w:rsidR="00573680" w:rsidRPr="00761055" w:rsidRDefault="00573680">
            <w:pPr>
              <w:jc w:val="right"/>
              <w:rPr>
                <w:rFonts w:cstheme="minorHAnsi"/>
                <w:color w:val="000000"/>
                <w:sz w:val="18"/>
                <w:szCs w:val="18"/>
              </w:rPr>
            </w:pPr>
            <w:r w:rsidRPr="00761055">
              <w:rPr>
                <w:rFonts w:cstheme="minorHAnsi"/>
                <w:color w:val="000000"/>
                <w:sz w:val="18"/>
                <w:szCs w:val="18"/>
              </w:rPr>
              <w:t>112,0%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69" w14:textId="77777777" w:rsidR="00573680" w:rsidRPr="00761055" w:rsidRDefault="00573680">
            <w:pPr>
              <w:jc w:val="right"/>
              <w:rPr>
                <w:rFonts w:cstheme="minorHAnsi"/>
                <w:color w:val="000000"/>
                <w:sz w:val="18"/>
                <w:szCs w:val="18"/>
              </w:rPr>
            </w:pPr>
            <w:r w:rsidRPr="00761055">
              <w:rPr>
                <w:rFonts w:cstheme="minorHAnsi"/>
                <w:color w:val="000000"/>
                <w:sz w:val="18"/>
                <w:szCs w:val="18"/>
              </w:rPr>
              <w:t>113,0%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6A" w14:textId="77777777" w:rsidR="00573680" w:rsidRPr="00761055" w:rsidRDefault="00573680">
            <w:pPr>
              <w:jc w:val="right"/>
              <w:rPr>
                <w:rFonts w:cstheme="minorHAnsi"/>
                <w:color w:val="000000"/>
                <w:sz w:val="18"/>
                <w:szCs w:val="18"/>
              </w:rPr>
            </w:pPr>
            <w:r w:rsidRPr="00761055">
              <w:rPr>
                <w:rFonts w:cstheme="minorHAnsi"/>
                <w:color w:val="000000"/>
                <w:sz w:val="18"/>
                <w:szCs w:val="18"/>
              </w:rPr>
              <w:t>111,0%</w:t>
            </w:r>
          </w:p>
        </w:tc>
      </w:tr>
      <w:tr w:rsidR="007A2E50" w:rsidRPr="00761055" w14:paraId="569F1F7F" w14:textId="77777777" w:rsidTr="002F33BC">
        <w:trPr>
          <w:trHeight w:val="402"/>
        </w:trPr>
        <w:tc>
          <w:tcPr>
            <w:tcW w:w="2024" w:type="dxa"/>
            <w:tcBorders>
              <w:top w:val="nil"/>
              <w:left w:val="nil"/>
              <w:bottom w:val="nil"/>
              <w:right w:val="nil"/>
            </w:tcBorders>
            <w:shd w:val="clear" w:color="auto" w:fill="auto"/>
            <w:noWrap/>
            <w:vAlign w:val="bottom"/>
            <w:hideMark/>
          </w:tcPr>
          <w:p w14:paraId="569F1F6C"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Hillegom</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6D" w14:textId="77777777" w:rsidR="00573680" w:rsidRPr="00761055" w:rsidRDefault="00573680">
            <w:pPr>
              <w:jc w:val="right"/>
              <w:rPr>
                <w:rFonts w:cstheme="minorHAnsi"/>
                <w:color w:val="000000"/>
                <w:sz w:val="18"/>
                <w:szCs w:val="18"/>
              </w:rPr>
            </w:pPr>
            <w:r w:rsidRPr="00761055">
              <w:rPr>
                <w:rFonts w:cstheme="minorHAnsi"/>
                <w:color w:val="000000"/>
                <w:sz w:val="18"/>
                <w:szCs w:val="18"/>
              </w:rPr>
              <w:t>-17,0%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6E" w14:textId="77777777" w:rsidR="00573680" w:rsidRPr="00761055" w:rsidRDefault="00573680">
            <w:pPr>
              <w:jc w:val="right"/>
              <w:rPr>
                <w:rFonts w:cstheme="minorHAnsi"/>
                <w:color w:val="000000"/>
                <w:sz w:val="18"/>
                <w:szCs w:val="18"/>
              </w:rPr>
            </w:pPr>
            <w:r w:rsidRPr="00761055">
              <w:rPr>
                <w:rFonts w:cstheme="minorHAnsi"/>
                <w:color w:val="000000"/>
                <w:sz w:val="18"/>
                <w:szCs w:val="18"/>
              </w:rPr>
              <w:t>4,0%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6F" w14:textId="77777777" w:rsidR="00573680" w:rsidRPr="00761055" w:rsidRDefault="00573680">
            <w:pPr>
              <w:jc w:val="right"/>
              <w:rPr>
                <w:rFonts w:cstheme="minorHAnsi"/>
                <w:color w:val="000000"/>
                <w:sz w:val="18"/>
                <w:szCs w:val="18"/>
              </w:rPr>
            </w:pPr>
            <w:r w:rsidRPr="00761055">
              <w:rPr>
                <w:rFonts w:cstheme="minorHAnsi"/>
                <w:color w:val="000000"/>
                <w:sz w:val="18"/>
                <w:szCs w:val="18"/>
              </w:rPr>
              <w:t>5,0%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70" w14:textId="77777777" w:rsidR="00573680" w:rsidRPr="00761055" w:rsidRDefault="00573680">
            <w:pPr>
              <w:jc w:val="right"/>
              <w:rPr>
                <w:rFonts w:cstheme="minorHAnsi"/>
                <w:color w:val="000000"/>
                <w:sz w:val="18"/>
                <w:szCs w:val="18"/>
              </w:rPr>
            </w:pPr>
            <w:r w:rsidRPr="00761055">
              <w:rPr>
                <w:rFonts w:cstheme="minorHAnsi"/>
                <w:color w:val="000000"/>
                <w:sz w:val="18"/>
                <w:szCs w:val="18"/>
              </w:rPr>
              <w:t>-44,0%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71" w14:textId="77777777" w:rsidR="00573680" w:rsidRPr="00761055" w:rsidRDefault="00573680">
            <w:pPr>
              <w:jc w:val="right"/>
              <w:rPr>
                <w:rFonts w:cstheme="minorHAnsi"/>
                <w:color w:val="000000"/>
                <w:sz w:val="18"/>
                <w:szCs w:val="18"/>
              </w:rPr>
            </w:pPr>
            <w:r w:rsidRPr="00761055">
              <w:rPr>
                <w:rFonts w:cstheme="minorHAnsi"/>
                <w:color w:val="000000"/>
                <w:sz w:val="18"/>
                <w:szCs w:val="18"/>
              </w:rPr>
              <w:t>4,0%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72" w14:textId="77777777" w:rsidR="00573680" w:rsidRPr="00761055" w:rsidRDefault="00573680">
            <w:pPr>
              <w:jc w:val="right"/>
              <w:rPr>
                <w:rFonts w:cstheme="minorHAnsi"/>
                <w:color w:val="000000"/>
                <w:sz w:val="18"/>
                <w:szCs w:val="18"/>
              </w:rPr>
            </w:pPr>
            <w:r w:rsidRPr="00761055">
              <w:rPr>
                <w:rFonts w:cstheme="minorHAnsi"/>
                <w:color w:val="000000"/>
                <w:sz w:val="18"/>
                <w:szCs w:val="18"/>
              </w:rPr>
              <w:t>-18,0%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73" w14:textId="77777777" w:rsidR="00573680" w:rsidRPr="00761055" w:rsidRDefault="00573680">
            <w:pPr>
              <w:jc w:val="right"/>
              <w:rPr>
                <w:rFonts w:cstheme="minorHAnsi"/>
                <w:color w:val="000000"/>
                <w:sz w:val="18"/>
                <w:szCs w:val="18"/>
              </w:rPr>
            </w:pPr>
            <w:r w:rsidRPr="00761055">
              <w:rPr>
                <w:rFonts w:cstheme="minorHAnsi"/>
                <w:color w:val="000000"/>
                <w:sz w:val="18"/>
                <w:szCs w:val="18"/>
              </w:rPr>
              <w:t>80,0%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74" w14:textId="77777777" w:rsidR="00573680" w:rsidRPr="00761055" w:rsidRDefault="00573680">
            <w:pPr>
              <w:jc w:val="right"/>
              <w:rPr>
                <w:rFonts w:cstheme="minorHAnsi"/>
                <w:color w:val="000000"/>
                <w:sz w:val="18"/>
                <w:szCs w:val="18"/>
              </w:rPr>
            </w:pPr>
            <w:r w:rsidRPr="00761055">
              <w:rPr>
                <w:rFonts w:cstheme="minorHAnsi"/>
                <w:color w:val="000000"/>
                <w:sz w:val="18"/>
                <w:szCs w:val="18"/>
              </w:rPr>
              <w:t>73,0%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75" w14:textId="77777777" w:rsidR="00573680" w:rsidRPr="00761055" w:rsidRDefault="00573680">
            <w:pPr>
              <w:jc w:val="right"/>
              <w:rPr>
                <w:rFonts w:cstheme="minorHAnsi"/>
                <w:color w:val="000000"/>
                <w:sz w:val="18"/>
                <w:szCs w:val="18"/>
              </w:rPr>
            </w:pPr>
            <w:r w:rsidRPr="00761055">
              <w:rPr>
                <w:rFonts w:cstheme="minorHAnsi"/>
                <w:color w:val="000000"/>
                <w:sz w:val="18"/>
                <w:szCs w:val="18"/>
              </w:rPr>
              <w:t>66,0%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76" w14:textId="77777777" w:rsidR="00573680" w:rsidRPr="00761055" w:rsidRDefault="00573680">
            <w:pPr>
              <w:jc w:val="right"/>
              <w:rPr>
                <w:rFonts w:cstheme="minorHAnsi"/>
                <w:color w:val="000000"/>
                <w:sz w:val="18"/>
                <w:szCs w:val="18"/>
              </w:rPr>
            </w:pPr>
            <w:r w:rsidRPr="00761055">
              <w:rPr>
                <w:rFonts w:cstheme="minorHAnsi"/>
                <w:color w:val="000000"/>
                <w:sz w:val="18"/>
                <w:szCs w:val="18"/>
              </w:rPr>
              <w:t>-4,0%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77" w14:textId="77777777" w:rsidR="00573680" w:rsidRPr="00761055" w:rsidRDefault="00573680">
            <w:pPr>
              <w:jc w:val="right"/>
              <w:rPr>
                <w:rFonts w:cstheme="minorHAnsi"/>
                <w:color w:val="000000"/>
                <w:sz w:val="18"/>
                <w:szCs w:val="18"/>
              </w:rPr>
            </w:pPr>
            <w:r w:rsidRPr="00761055">
              <w:rPr>
                <w:rFonts w:cstheme="minorHAnsi"/>
                <w:color w:val="000000"/>
                <w:sz w:val="18"/>
                <w:szCs w:val="18"/>
              </w:rPr>
              <w:t>-13,0%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78" w14:textId="77777777" w:rsidR="00573680" w:rsidRPr="00761055" w:rsidRDefault="00573680">
            <w:pPr>
              <w:jc w:val="right"/>
              <w:rPr>
                <w:rFonts w:cstheme="minorHAnsi"/>
                <w:color w:val="000000"/>
                <w:sz w:val="18"/>
                <w:szCs w:val="18"/>
              </w:rPr>
            </w:pPr>
            <w:r w:rsidRPr="00761055">
              <w:rPr>
                <w:rFonts w:cstheme="minorHAnsi"/>
                <w:color w:val="000000"/>
                <w:sz w:val="18"/>
                <w:szCs w:val="18"/>
              </w:rPr>
              <w:t>-3,0%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79" w14:textId="77777777" w:rsidR="00573680" w:rsidRPr="00761055" w:rsidRDefault="00573680">
            <w:pPr>
              <w:jc w:val="right"/>
              <w:rPr>
                <w:rFonts w:cstheme="minorHAnsi"/>
                <w:color w:val="000000"/>
                <w:sz w:val="18"/>
                <w:szCs w:val="18"/>
              </w:rPr>
            </w:pPr>
            <w:r w:rsidRPr="00761055">
              <w:rPr>
                <w:rFonts w:cstheme="minorHAnsi"/>
                <w:color w:val="000000"/>
                <w:sz w:val="18"/>
                <w:szCs w:val="18"/>
              </w:rPr>
              <w:t>2,0%</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7A" w14:textId="77777777" w:rsidR="00573680" w:rsidRPr="00761055" w:rsidRDefault="00573680">
            <w:pPr>
              <w:jc w:val="right"/>
              <w:rPr>
                <w:rFonts w:cstheme="minorHAnsi"/>
                <w:color w:val="000000"/>
                <w:sz w:val="18"/>
                <w:szCs w:val="18"/>
              </w:rPr>
            </w:pPr>
            <w:r w:rsidRPr="00761055">
              <w:rPr>
                <w:rFonts w:cstheme="minorHAnsi"/>
                <w:color w:val="000000"/>
                <w:sz w:val="18"/>
                <w:szCs w:val="18"/>
              </w:rPr>
              <w:t>1,0%</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7B" w14:textId="77777777" w:rsidR="00573680" w:rsidRPr="00761055" w:rsidRDefault="00573680">
            <w:pPr>
              <w:jc w:val="right"/>
              <w:rPr>
                <w:rFonts w:cstheme="minorHAnsi"/>
                <w:color w:val="000000"/>
                <w:sz w:val="18"/>
                <w:szCs w:val="18"/>
              </w:rPr>
            </w:pPr>
            <w:r w:rsidRPr="00761055">
              <w:rPr>
                <w:rFonts w:cstheme="minorHAnsi"/>
                <w:color w:val="000000"/>
                <w:sz w:val="18"/>
                <w:szCs w:val="18"/>
              </w:rPr>
              <w:t>9,0%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7C"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7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1F7E" w14:textId="77777777" w:rsidR="00573680" w:rsidRPr="00761055" w:rsidRDefault="00573680">
            <w:pPr>
              <w:rPr>
                <w:rFonts w:cstheme="minorHAnsi"/>
                <w:color w:val="000000"/>
                <w:sz w:val="18"/>
                <w:szCs w:val="18"/>
              </w:rPr>
            </w:pPr>
            <w:r w:rsidRPr="00761055">
              <w:rPr>
                <w:rFonts w:cstheme="minorHAnsi"/>
                <w:color w:val="000000"/>
                <w:sz w:val="18"/>
                <w:szCs w:val="18"/>
              </w:rPr>
              <w:t> </w:t>
            </w:r>
          </w:p>
        </w:tc>
      </w:tr>
      <w:tr w:rsidR="007A2E50" w:rsidRPr="00761055" w14:paraId="569F1F93" w14:textId="77777777" w:rsidTr="002F33BC">
        <w:trPr>
          <w:trHeight w:val="402"/>
        </w:trPr>
        <w:tc>
          <w:tcPr>
            <w:tcW w:w="2024" w:type="dxa"/>
            <w:tcBorders>
              <w:top w:val="nil"/>
              <w:left w:val="nil"/>
              <w:bottom w:val="nil"/>
              <w:right w:val="nil"/>
            </w:tcBorders>
            <w:shd w:val="clear" w:color="auto" w:fill="auto"/>
            <w:noWrap/>
            <w:vAlign w:val="bottom"/>
            <w:hideMark/>
          </w:tcPr>
          <w:p w14:paraId="569F1F80"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Kaag en Braassem</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81" w14:textId="77777777" w:rsidR="00573680" w:rsidRPr="00761055" w:rsidRDefault="00573680">
            <w:pPr>
              <w:jc w:val="right"/>
              <w:rPr>
                <w:rFonts w:cstheme="minorHAnsi"/>
                <w:color w:val="000000"/>
                <w:sz w:val="18"/>
                <w:szCs w:val="18"/>
              </w:rPr>
            </w:pPr>
            <w:r w:rsidRPr="00761055">
              <w:rPr>
                <w:rFonts w:cstheme="minorHAnsi"/>
                <w:color w:val="000000"/>
                <w:sz w:val="18"/>
                <w:szCs w:val="18"/>
              </w:rPr>
              <w:t>87,0%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82" w14:textId="77777777" w:rsidR="00573680" w:rsidRPr="00761055" w:rsidRDefault="00573680">
            <w:pPr>
              <w:jc w:val="right"/>
              <w:rPr>
                <w:rFonts w:cstheme="minorHAnsi"/>
                <w:color w:val="000000"/>
                <w:sz w:val="18"/>
                <w:szCs w:val="18"/>
              </w:rPr>
            </w:pPr>
            <w:r w:rsidRPr="00761055">
              <w:rPr>
                <w:rFonts w:cstheme="minorHAnsi"/>
                <w:color w:val="000000"/>
                <w:sz w:val="18"/>
                <w:szCs w:val="18"/>
              </w:rPr>
              <w:t>94,0%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83" w14:textId="77777777" w:rsidR="00573680" w:rsidRPr="00761055" w:rsidRDefault="00573680">
            <w:pPr>
              <w:jc w:val="right"/>
              <w:rPr>
                <w:rFonts w:cstheme="minorHAnsi"/>
                <w:color w:val="000000"/>
                <w:sz w:val="18"/>
                <w:szCs w:val="18"/>
              </w:rPr>
            </w:pPr>
            <w:r w:rsidRPr="00761055">
              <w:rPr>
                <w:rFonts w:cstheme="minorHAnsi"/>
                <w:color w:val="000000"/>
                <w:sz w:val="18"/>
                <w:szCs w:val="18"/>
              </w:rPr>
              <w:t>116,0%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84" w14:textId="77777777" w:rsidR="00573680" w:rsidRPr="00761055" w:rsidRDefault="00573680">
            <w:pPr>
              <w:jc w:val="right"/>
              <w:rPr>
                <w:rFonts w:cstheme="minorHAnsi"/>
                <w:color w:val="000000"/>
                <w:sz w:val="18"/>
                <w:szCs w:val="18"/>
              </w:rPr>
            </w:pPr>
            <w:r w:rsidRPr="00761055">
              <w:rPr>
                <w:rFonts w:cstheme="minorHAnsi"/>
                <w:color w:val="000000"/>
                <w:sz w:val="18"/>
                <w:szCs w:val="18"/>
              </w:rPr>
              <w:t>53,0%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85" w14:textId="77777777" w:rsidR="00573680" w:rsidRPr="00761055" w:rsidRDefault="00573680">
            <w:pPr>
              <w:jc w:val="right"/>
              <w:rPr>
                <w:rFonts w:cstheme="minorHAnsi"/>
                <w:color w:val="000000"/>
                <w:sz w:val="18"/>
                <w:szCs w:val="18"/>
              </w:rPr>
            </w:pPr>
            <w:r w:rsidRPr="00761055">
              <w:rPr>
                <w:rFonts w:cstheme="minorHAnsi"/>
                <w:color w:val="000000"/>
                <w:sz w:val="18"/>
                <w:szCs w:val="18"/>
              </w:rPr>
              <w:t>64,0%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86" w14:textId="77777777" w:rsidR="00573680" w:rsidRPr="00761055" w:rsidRDefault="00573680">
            <w:pPr>
              <w:jc w:val="right"/>
              <w:rPr>
                <w:rFonts w:cstheme="minorHAnsi"/>
                <w:color w:val="000000"/>
                <w:sz w:val="18"/>
                <w:szCs w:val="18"/>
              </w:rPr>
            </w:pPr>
            <w:r w:rsidRPr="00761055">
              <w:rPr>
                <w:rFonts w:cstheme="minorHAnsi"/>
                <w:color w:val="000000"/>
                <w:sz w:val="18"/>
                <w:szCs w:val="18"/>
              </w:rPr>
              <w:t>93,0%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87" w14:textId="77777777" w:rsidR="00573680" w:rsidRPr="00761055" w:rsidRDefault="00573680">
            <w:pPr>
              <w:jc w:val="right"/>
              <w:rPr>
                <w:rFonts w:cstheme="minorHAnsi"/>
                <w:color w:val="000000"/>
                <w:sz w:val="18"/>
                <w:szCs w:val="18"/>
              </w:rPr>
            </w:pPr>
            <w:r w:rsidRPr="00761055">
              <w:rPr>
                <w:rFonts w:cstheme="minorHAnsi"/>
                <w:color w:val="000000"/>
                <w:sz w:val="18"/>
                <w:szCs w:val="18"/>
              </w:rPr>
              <w:t>28,0%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88" w14:textId="77777777" w:rsidR="00573680" w:rsidRPr="00761055" w:rsidRDefault="00573680">
            <w:pPr>
              <w:jc w:val="right"/>
              <w:rPr>
                <w:rFonts w:cstheme="minorHAnsi"/>
                <w:color w:val="000000"/>
                <w:sz w:val="18"/>
                <w:szCs w:val="18"/>
              </w:rPr>
            </w:pPr>
            <w:r w:rsidRPr="00761055">
              <w:rPr>
                <w:rFonts w:cstheme="minorHAnsi"/>
                <w:color w:val="000000"/>
                <w:sz w:val="18"/>
                <w:szCs w:val="18"/>
              </w:rPr>
              <w:t>22,0%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89" w14:textId="77777777" w:rsidR="00573680" w:rsidRPr="00761055" w:rsidRDefault="00573680">
            <w:pPr>
              <w:jc w:val="right"/>
              <w:rPr>
                <w:rFonts w:cstheme="minorHAnsi"/>
                <w:color w:val="000000"/>
                <w:sz w:val="18"/>
                <w:szCs w:val="18"/>
              </w:rPr>
            </w:pPr>
            <w:r w:rsidRPr="00761055">
              <w:rPr>
                <w:rFonts w:cstheme="minorHAnsi"/>
                <w:color w:val="000000"/>
                <w:sz w:val="18"/>
                <w:szCs w:val="18"/>
              </w:rPr>
              <w:t>22,0%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8A" w14:textId="77777777" w:rsidR="00573680" w:rsidRPr="00761055" w:rsidRDefault="00573680">
            <w:pPr>
              <w:jc w:val="right"/>
              <w:rPr>
                <w:rFonts w:cstheme="minorHAnsi"/>
                <w:color w:val="000000"/>
                <w:sz w:val="18"/>
                <w:szCs w:val="18"/>
              </w:rPr>
            </w:pPr>
            <w:r w:rsidRPr="00761055">
              <w:rPr>
                <w:rFonts w:cstheme="minorHAnsi"/>
                <w:color w:val="000000"/>
                <w:sz w:val="18"/>
                <w:szCs w:val="18"/>
              </w:rPr>
              <w:t>23,0%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8B" w14:textId="77777777" w:rsidR="00573680" w:rsidRPr="00761055" w:rsidRDefault="00573680">
            <w:pPr>
              <w:jc w:val="right"/>
              <w:rPr>
                <w:rFonts w:cstheme="minorHAnsi"/>
                <w:color w:val="000000"/>
                <w:sz w:val="18"/>
                <w:szCs w:val="18"/>
              </w:rPr>
            </w:pPr>
            <w:r w:rsidRPr="00761055">
              <w:rPr>
                <w:rFonts w:cstheme="minorHAnsi"/>
                <w:color w:val="000000"/>
                <w:sz w:val="18"/>
                <w:szCs w:val="18"/>
              </w:rPr>
              <w:t>19,0%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8C" w14:textId="77777777" w:rsidR="00573680" w:rsidRPr="00761055" w:rsidRDefault="00573680">
            <w:pPr>
              <w:jc w:val="right"/>
              <w:rPr>
                <w:rFonts w:cstheme="minorHAnsi"/>
                <w:color w:val="000000"/>
                <w:sz w:val="18"/>
                <w:szCs w:val="18"/>
              </w:rPr>
            </w:pPr>
            <w:r w:rsidRPr="00761055">
              <w:rPr>
                <w:rFonts w:cstheme="minorHAnsi"/>
                <w:color w:val="000000"/>
                <w:sz w:val="18"/>
                <w:szCs w:val="18"/>
              </w:rPr>
              <w:t>13,0%</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8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8E"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8F" w14:textId="77777777" w:rsidR="00573680" w:rsidRPr="00761055" w:rsidRDefault="00573680">
            <w:pPr>
              <w:jc w:val="right"/>
              <w:rPr>
                <w:rFonts w:cstheme="minorHAnsi"/>
                <w:color w:val="000000"/>
                <w:sz w:val="18"/>
                <w:szCs w:val="18"/>
              </w:rPr>
            </w:pPr>
            <w:r w:rsidRPr="00761055">
              <w:rPr>
                <w:rFonts w:cstheme="minorHAnsi"/>
                <w:color w:val="000000"/>
                <w:sz w:val="18"/>
                <w:szCs w:val="18"/>
              </w:rPr>
              <w:t>1,3%</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90" w14:textId="77777777" w:rsidR="00573680" w:rsidRPr="00761055" w:rsidRDefault="00573680">
            <w:pPr>
              <w:jc w:val="right"/>
              <w:rPr>
                <w:rFonts w:cstheme="minorHAnsi"/>
                <w:color w:val="000000"/>
                <w:sz w:val="18"/>
                <w:szCs w:val="18"/>
              </w:rPr>
            </w:pPr>
            <w:r w:rsidRPr="00761055">
              <w:rPr>
                <w:rFonts w:cstheme="minorHAnsi"/>
                <w:color w:val="000000"/>
                <w:sz w:val="18"/>
                <w:szCs w:val="18"/>
              </w:rPr>
              <w:t>128,0%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91" w14:textId="77777777" w:rsidR="00573680" w:rsidRPr="00761055" w:rsidRDefault="00573680">
            <w:pPr>
              <w:jc w:val="right"/>
              <w:rPr>
                <w:rFonts w:cstheme="minorHAnsi"/>
                <w:color w:val="000000"/>
                <w:sz w:val="18"/>
                <w:szCs w:val="18"/>
              </w:rPr>
            </w:pPr>
            <w:r w:rsidRPr="00761055">
              <w:rPr>
                <w:rFonts w:cstheme="minorHAnsi"/>
                <w:color w:val="000000"/>
                <w:sz w:val="18"/>
                <w:szCs w:val="18"/>
              </w:rPr>
              <w:t>126,0%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92" w14:textId="77777777" w:rsidR="00573680" w:rsidRPr="00761055" w:rsidRDefault="00573680">
            <w:pPr>
              <w:jc w:val="right"/>
              <w:rPr>
                <w:rFonts w:cstheme="minorHAnsi"/>
                <w:color w:val="000000"/>
                <w:sz w:val="18"/>
                <w:szCs w:val="18"/>
              </w:rPr>
            </w:pPr>
            <w:r w:rsidRPr="00761055">
              <w:rPr>
                <w:rFonts w:cstheme="minorHAnsi"/>
                <w:color w:val="000000"/>
                <w:sz w:val="18"/>
                <w:szCs w:val="18"/>
              </w:rPr>
              <w:t>127,0%</w:t>
            </w:r>
          </w:p>
        </w:tc>
      </w:tr>
      <w:tr w:rsidR="007A2E50" w:rsidRPr="00761055" w14:paraId="569F1FA7" w14:textId="77777777" w:rsidTr="002F33BC">
        <w:trPr>
          <w:trHeight w:val="402"/>
        </w:trPr>
        <w:tc>
          <w:tcPr>
            <w:tcW w:w="2024" w:type="dxa"/>
            <w:tcBorders>
              <w:top w:val="nil"/>
              <w:left w:val="nil"/>
              <w:bottom w:val="nil"/>
              <w:right w:val="nil"/>
            </w:tcBorders>
            <w:shd w:val="clear" w:color="auto" w:fill="auto"/>
            <w:noWrap/>
            <w:vAlign w:val="bottom"/>
            <w:hideMark/>
          </w:tcPr>
          <w:p w14:paraId="569F1F94"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Katwijk</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95" w14:textId="77777777" w:rsidR="00573680" w:rsidRPr="00761055" w:rsidRDefault="00573680">
            <w:pPr>
              <w:jc w:val="right"/>
              <w:rPr>
                <w:rFonts w:cstheme="minorHAnsi"/>
                <w:color w:val="000000"/>
                <w:sz w:val="18"/>
                <w:szCs w:val="18"/>
              </w:rPr>
            </w:pPr>
            <w:r w:rsidRPr="00761055">
              <w:rPr>
                <w:rFonts w:cstheme="minorHAnsi"/>
                <w:color w:val="000000"/>
                <w:sz w:val="18"/>
                <w:szCs w:val="18"/>
              </w:rPr>
              <w:t>69,0%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96" w14:textId="77777777" w:rsidR="00573680" w:rsidRPr="00761055" w:rsidRDefault="00573680">
            <w:pPr>
              <w:jc w:val="right"/>
              <w:rPr>
                <w:rFonts w:cstheme="minorHAnsi"/>
                <w:color w:val="000000"/>
                <w:sz w:val="18"/>
                <w:szCs w:val="18"/>
              </w:rPr>
            </w:pPr>
            <w:r w:rsidRPr="00761055">
              <w:rPr>
                <w:rFonts w:cstheme="minorHAnsi"/>
                <w:color w:val="000000"/>
                <w:sz w:val="18"/>
                <w:szCs w:val="18"/>
              </w:rPr>
              <w:t>64,0%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97" w14:textId="77777777" w:rsidR="00573680" w:rsidRPr="00761055" w:rsidRDefault="00573680">
            <w:pPr>
              <w:jc w:val="right"/>
              <w:rPr>
                <w:rFonts w:cstheme="minorHAnsi"/>
                <w:color w:val="000000"/>
                <w:sz w:val="18"/>
                <w:szCs w:val="18"/>
              </w:rPr>
            </w:pPr>
            <w:r w:rsidRPr="00761055">
              <w:rPr>
                <w:rFonts w:cstheme="minorHAnsi"/>
                <w:color w:val="000000"/>
                <w:sz w:val="18"/>
                <w:szCs w:val="18"/>
              </w:rPr>
              <w:t>60,0%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98" w14:textId="77777777" w:rsidR="00573680" w:rsidRPr="00761055" w:rsidRDefault="00573680">
            <w:pPr>
              <w:jc w:val="right"/>
              <w:rPr>
                <w:rFonts w:cstheme="minorHAnsi"/>
                <w:color w:val="000000"/>
                <w:sz w:val="18"/>
                <w:szCs w:val="18"/>
              </w:rPr>
            </w:pPr>
            <w:r w:rsidRPr="00761055">
              <w:rPr>
                <w:rFonts w:cstheme="minorHAnsi"/>
                <w:color w:val="000000"/>
                <w:sz w:val="18"/>
                <w:szCs w:val="18"/>
              </w:rPr>
              <w:t>72,0%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99" w14:textId="77777777" w:rsidR="00573680" w:rsidRPr="00761055" w:rsidRDefault="00573680">
            <w:pPr>
              <w:jc w:val="right"/>
              <w:rPr>
                <w:rFonts w:cstheme="minorHAnsi"/>
                <w:color w:val="000000"/>
                <w:sz w:val="18"/>
                <w:szCs w:val="18"/>
              </w:rPr>
            </w:pPr>
            <w:r w:rsidRPr="00761055">
              <w:rPr>
                <w:rFonts w:cstheme="minorHAnsi"/>
                <w:color w:val="000000"/>
                <w:sz w:val="18"/>
                <w:szCs w:val="18"/>
              </w:rPr>
              <w:t>67,0%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9A" w14:textId="77777777" w:rsidR="00573680" w:rsidRPr="00761055" w:rsidRDefault="00573680">
            <w:pPr>
              <w:jc w:val="right"/>
              <w:rPr>
                <w:rFonts w:cstheme="minorHAnsi"/>
                <w:color w:val="000000"/>
                <w:sz w:val="18"/>
                <w:szCs w:val="18"/>
              </w:rPr>
            </w:pPr>
            <w:r w:rsidRPr="00761055">
              <w:rPr>
                <w:rFonts w:cstheme="minorHAnsi"/>
                <w:color w:val="000000"/>
                <w:sz w:val="18"/>
                <w:szCs w:val="18"/>
              </w:rPr>
              <w:t>64,0%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9B" w14:textId="77777777" w:rsidR="00573680" w:rsidRPr="00761055" w:rsidRDefault="00573680">
            <w:pPr>
              <w:jc w:val="right"/>
              <w:rPr>
                <w:rFonts w:cstheme="minorHAnsi"/>
                <w:color w:val="000000"/>
                <w:sz w:val="18"/>
                <w:szCs w:val="18"/>
              </w:rPr>
            </w:pPr>
            <w:r w:rsidRPr="00761055">
              <w:rPr>
                <w:rFonts w:cstheme="minorHAnsi"/>
                <w:color w:val="000000"/>
                <w:sz w:val="18"/>
                <w:szCs w:val="18"/>
              </w:rPr>
              <w:t>31,0%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9C" w14:textId="77777777" w:rsidR="00573680" w:rsidRPr="00761055" w:rsidRDefault="00573680">
            <w:pPr>
              <w:jc w:val="right"/>
              <w:rPr>
                <w:rFonts w:cstheme="minorHAnsi"/>
                <w:color w:val="000000"/>
                <w:sz w:val="18"/>
                <w:szCs w:val="18"/>
              </w:rPr>
            </w:pPr>
            <w:r w:rsidRPr="00761055">
              <w:rPr>
                <w:rFonts w:cstheme="minorHAnsi"/>
                <w:color w:val="000000"/>
                <w:sz w:val="18"/>
                <w:szCs w:val="18"/>
              </w:rPr>
              <w:t>36,0%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9D" w14:textId="77777777" w:rsidR="00573680" w:rsidRPr="00761055" w:rsidRDefault="00573680">
            <w:pPr>
              <w:jc w:val="right"/>
              <w:rPr>
                <w:rFonts w:cstheme="minorHAnsi"/>
                <w:color w:val="000000"/>
                <w:sz w:val="18"/>
                <w:szCs w:val="18"/>
              </w:rPr>
            </w:pPr>
            <w:r w:rsidRPr="00761055">
              <w:rPr>
                <w:rFonts w:cstheme="minorHAnsi"/>
                <w:color w:val="000000"/>
                <w:sz w:val="18"/>
                <w:szCs w:val="18"/>
              </w:rPr>
              <w:t>40,0%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9E" w14:textId="77777777" w:rsidR="00573680" w:rsidRPr="00761055" w:rsidRDefault="00573680">
            <w:pPr>
              <w:jc w:val="right"/>
              <w:rPr>
                <w:rFonts w:cstheme="minorHAnsi"/>
                <w:color w:val="000000"/>
                <w:sz w:val="18"/>
                <w:szCs w:val="18"/>
              </w:rPr>
            </w:pPr>
            <w:r w:rsidRPr="00761055">
              <w:rPr>
                <w:rFonts w:cstheme="minorHAnsi"/>
                <w:color w:val="000000"/>
                <w:sz w:val="18"/>
                <w:szCs w:val="18"/>
              </w:rPr>
              <w:t>13,0%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9F" w14:textId="77777777" w:rsidR="00573680" w:rsidRPr="00761055" w:rsidRDefault="00573680">
            <w:pPr>
              <w:jc w:val="right"/>
              <w:rPr>
                <w:rFonts w:cstheme="minorHAnsi"/>
                <w:color w:val="000000"/>
                <w:sz w:val="18"/>
                <w:szCs w:val="18"/>
              </w:rPr>
            </w:pPr>
            <w:r w:rsidRPr="00761055">
              <w:rPr>
                <w:rFonts w:cstheme="minorHAnsi"/>
                <w:color w:val="000000"/>
                <w:sz w:val="18"/>
                <w:szCs w:val="18"/>
              </w:rPr>
              <w:t>21,0%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A0" w14:textId="77777777" w:rsidR="00573680" w:rsidRPr="00761055" w:rsidRDefault="00573680">
            <w:pPr>
              <w:jc w:val="right"/>
              <w:rPr>
                <w:rFonts w:cstheme="minorHAnsi"/>
                <w:color w:val="000000"/>
                <w:sz w:val="18"/>
                <w:szCs w:val="18"/>
              </w:rPr>
            </w:pPr>
            <w:r w:rsidRPr="00761055">
              <w:rPr>
                <w:rFonts w:cstheme="minorHAnsi"/>
                <w:color w:val="000000"/>
                <w:sz w:val="18"/>
                <w:szCs w:val="18"/>
              </w:rPr>
              <w:t>17,0%</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A1" w14:textId="77777777" w:rsidR="00573680" w:rsidRPr="00761055" w:rsidRDefault="00573680">
            <w:pPr>
              <w:jc w:val="right"/>
              <w:rPr>
                <w:rFonts w:cstheme="minorHAnsi"/>
                <w:color w:val="000000"/>
                <w:sz w:val="18"/>
                <w:szCs w:val="18"/>
              </w:rPr>
            </w:pPr>
            <w:r w:rsidRPr="00761055">
              <w:rPr>
                <w:rFonts w:cstheme="minorHAnsi"/>
                <w:color w:val="000000"/>
                <w:sz w:val="18"/>
                <w:szCs w:val="18"/>
              </w:rPr>
              <w:t>-3,0%</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A2" w14:textId="77777777" w:rsidR="00573680" w:rsidRPr="00761055" w:rsidRDefault="00573680">
            <w:pPr>
              <w:jc w:val="right"/>
              <w:rPr>
                <w:rFonts w:cstheme="minorHAnsi"/>
                <w:color w:val="000000"/>
                <w:sz w:val="18"/>
                <w:szCs w:val="18"/>
              </w:rPr>
            </w:pPr>
            <w:r w:rsidRPr="00761055">
              <w:rPr>
                <w:rFonts w:cstheme="minorHAnsi"/>
                <w:color w:val="000000"/>
                <w:sz w:val="18"/>
                <w:szCs w:val="18"/>
              </w:rPr>
              <w:t>-8,0%</w:t>
            </w:r>
          </w:p>
        </w:tc>
        <w:tc>
          <w:tcPr>
            <w:tcW w:w="5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A3" w14:textId="77777777" w:rsidR="00573680" w:rsidRPr="00761055" w:rsidRDefault="00573680">
            <w:pPr>
              <w:jc w:val="right"/>
              <w:rPr>
                <w:rFonts w:cstheme="minorHAnsi"/>
                <w:color w:val="000000"/>
                <w:sz w:val="18"/>
                <w:szCs w:val="18"/>
              </w:rPr>
            </w:pPr>
            <w:r w:rsidRPr="00761055">
              <w:rPr>
                <w:rFonts w:cstheme="minorHAnsi"/>
                <w:color w:val="000000"/>
                <w:sz w:val="18"/>
                <w:szCs w:val="18"/>
              </w:rPr>
              <w:t>-2,0%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A4" w14:textId="77777777" w:rsidR="00573680" w:rsidRPr="00761055" w:rsidRDefault="00573680">
            <w:pPr>
              <w:jc w:val="right"/>
              <w:rPr>
                <w:rFonts w:cstheme="minorHAnsi"/>
                <w:color w:val="000000"/>
                <w:sz w:val="18"/>
                <w:szCs w:val="18"/>
              </w:rPr>
            </w:pPr>
            <w:r w:rsidRPr="00761055">
              <w:rPr>
                <w:rFonts w:cstheme="minorHAnsi"/>
                <w:color w:val="000000"/>
                <w:sz w:val="18"/>
                <w:szCs w:val="18"/>
              </w:rPr>
              <w:t>93,0%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A5" w14:textId="77777777" w:rsidR="00573680" w:rsidRPr="00761055" w:rsidRDefault="00573680">
            <w:pPr>
              <w:jc w:val="right"/>
              <w:rPr>
                <w:rFonts w:cstheme="minorHAnsi"/>
                <w:color w:val="000000"/>
                <w:sz w:val="18"/>
                <w:szCs w:val="18"/>
              </w:rPr>
            </w:pPr>
            <w:r w:rsidRPr="00761055">
              <w:rPr>
                <w:rFonts w:cstheme="minorHAnsi"/>
                <w:color w:val="000000"/>
                <w:sz w:val="18"/>
                <w:szCs w:val="18"/>
              </w:rPr>
              <w:t>97,0%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A6" w14:textId="77777777" w:rsidR="00573680" w:rsidRPr="00761055" w:rsidRDefault="00573680">
            <w:pPr>
              <w:jc w:val="right"/>
              <w:rPr>
                <w:rFonts w:cstheme="minorHAnsi"/>
                <w:color w:val="000000"/>
                <w:sz w:val="18"/>
                <w:szCs w:val="18"/>
              </w:rPr>
            </w:pPr>
            <w:r w:rsidRPr="00761055">
              <w:rPr>
                <w:rFonts w:cstheme="minorHAnsi"/>
                <w:color w:val="000000"/>
                <w:sz w:val="18"/>
                <w:szCs w:val="18"/>
              </w:rPr>
              <w:t>96,0%</w:t>
            </w:r>
          </w:p>
        </w:tc>
      </w:tr>
      <w:tr w:rsidR="007A2E50" w:rsidRPr="00761055" w14:paraId="569F1FBB" w14:textId="77777777" w:rsidTr="002F33BC">
        <w:trPr>
          <w:trHeight w:val="402"/>
        </w:trPr>
        <w:tc>
          <w:tcPr>
            <w:tcW w:w="2024" w:type="dxa"/>
            <w:tcBorders>
              <w:top w:val="nil"/>
              <w:left w:val="nil"/>
              <w:bottom w:val="nil"/>
              <w:right w:val="nil"/>
            </w:tcBorders>
            <w:shd w:val="clear" w:color="auto" w:fill="auto"/>
            <w:noWrap/>
            <w:vAlign w:val="bottom"/>
            <w:hideMark/>
          </w:tcPr>
          <w:p w14:paraId="569F1FA8"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Korendijk</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A9" w14:textId="77777777" w:rsidR="00573680" w:rsidRPr="00761055" w:rsidRDefault="00573680">
            <w:pPr>
              <w:jc w:val="right"/>
              <w:rPr>
                <w:rFonts w:cstheme="minorHAnsi"/>
                <w:color w:val="000000"/>
                <w:sz w:val="18"/>
                <w:szCs w:val="18"/>
              </w:rPr>
            </w:pPr>
            <w:r w:rsidRPr="00761055">
              <w:rPr>
                <w:rFonts w:cstheme="minorHAnsi"/>
                <w:color w:val="000000"/>
                <w:sz w:val="18"/>
                <w:szCs w:val="18"/>
              </w:rPr>
              <w:t>45,0%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AA" w14:textId="77777777" w:rsidR="00573680" w:rsidRPr="00761055" w:rsidRDefault="00573680">
            <w:pPr>
              <w:jc w:val="right"/>
              <w:rPr>
                <w:rFonts w:cstheme="minorHAnsi"/>
                <w:color w:val="000000"/>
                <w:sz w:val="18"/>
                <w:szCs w:val="18"/>
              </w:rPr>
            </w:pPr>
            <w:r w:rsidRPr="00761055">
              <w:rPr>
                <w:rFonts w:cstheme="minorHAnsi"/>
                <w:color w:val="000000"/>
                <w:sz w:val="18"/>
                <w:szCs w:val="18"/>
              </w:rPr>
              <w:t>51,9%</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AB" w14:textId="77777777" w:rsidR="00573680" w:rsidRPr="00761055" w:rsidRDefault="00573680">
            <w:pPr>
              <w:jc w:val="right"/>
              <w:rPr>
                <w:rFonts w:cstheme="minorHAnsi"/>
                <w:color w:val="000000"/>
                <w:sz w:val="18"/>
                <w:szCs w:val="18"/>
              </w:rPr>
            </w:pPr>
            <w:r w:rsidRPr="00761055">
              <w:rPr>
                <w:rFonts w:cstheme="minorHAnsi"/>
                <w:color w:val="000000"/>
                <w:sz w:val="18"/>
                <w:szCs w:val="18"/>
              </w:rPr>
              <w:t>45,7%</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AC" w14:textId="77777777" w:rsidR="00573680" w:rsidRPr="00761055" w:rsidRDefault="00573680">
            <w:pPr>
              <w:jc w:val="right"/>
              <w:rPr>
                <w:rFonts w:cstheme="minorHAnsi"/>
                <w:color w:val="000000"/>
                <w:sz w:val="18"/>
                <w:szCs w:val="18"/>
              </w:rPr>
            </w:pPr>
            <w:r w:rsidRPr="00761055">
              <w:rPr>
                <w:rFonts w:cstheme="minorHAnsi"/>
                <w:color w:val="000000"/>
                <w:sz w:val="18"/>
                <w:szCs w:val="18"/>
              </w:rPr>
              <w:t>69,0%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AD" w14:textId="77777777" w:rsidR="00573680" w:rsidRPr="00761055" w:rsidRDefault="00573680">
            <w:pPr>
              <w:jc w:val="right"/>
              <w:rPr>
                <w:rFonts w:cstheme="minorHAnsi"/>
                <w:color w:val="000000"/>
                <w:sz w:val="18"/>
                <w:szCs w:val="18"/>
              </w:rPr>
            </w:pPr>
            <w:r w:rsidRPr="00761055">
              <w:rPr>
                <w:rFonts w:cstheme="minorHAnsi"/>
                <w:color w:val="000000"/>
                <w:sz w:val="18"/>
                <w:szCs w:val="18"/>
              </w:rPr>
              <w:t>54,5%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AE" w14:textId="77777777" w:rsidR="00573680" w:rsidRPr="00761055" w:rsidRDefault="00573680">
            <w:pPr>
              <w:jc w:val="right"/>
              <w:rPr>
                <w:rFonts w:cstheme="minorHAnsi"/>
                <w:color w:val="000000"/>
                <w:sz w:val="18"/>
                <w:szCs w:val="18"/>
              </w:rPr>
            </w:pPr>
            <w:r w:rsidRPr="00761055">
              <w:rPr>
                <w:rFonts w:cstheme="minorHAnsi"/>
                <w:color w:val="000000"/>
                <w:sz w:val="18"/>
                <w:szCs w:val="18"/>
              </w:rPr>
              <w:t>43,7%</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AF" w14:textId="77777777" w:rsidR="00573680" w:rsidRPr="00761055" w:rsidRDefault="00573680">
            <w:pPr>
              <w:jc w:val="right"/>
              <w:rPr>
                <w:rFonts w:cstheme="minorHAnsi"/>
                <w:color w:val="000000"/>
                <w:sz w:val="18"/>
                <w:szCs w:val="18"/>
              </w:rPr>
            </w:pPr>
            <w:r w:rsidRPr="00761055">
              <w:rPr>
                <w:rFonts w:cstheme="minorHAnsi"/>
                <w:color w:val="000000"/>
                <w:sz w:val="18"/>
                <w:szCs w:val="18"/>
              </w:rPr>
              <w:t>24,0%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B0" w14:textId="77777777" w:rsidR="00573680" w:rsidRPr="00761055" w:rsidRDefault="00573680">
            <w:pPr>
              <w:jc w:val="right"/>
              <w:rPr>
                <w:rFonts w:cstheme="minorHAnsi"/>
                <w:color w:val="000000"/>
                <w:sz w:val="18"/>
                <w:szCs w:val="18"/>
              </w:rPr>
            </w:pPr>
            <w:r w:rsidRPr="00761055">
              <w:rPr>
                <w:rFonts w:cstheme="minorHAnsi"/>
                <w:color w:val="000000"/>
                <w:sz w:val="18"/>
                <w:szCs w:val="18"/>
              </w:rPr>
              <w:t>37,5%</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B1" w14:textId="77777777" w:rsidR="00573680" w:rsidRPr="00761055" w:rsidRDefault="00573680">
            <w:pPr>
              <w:jc w:val="right"/>
              <w:rPr>
                <w:rFonts w:cstheme="minorHAnsi"/>
                <w:color w:val="000000"/>
                <w:sz w:val="18"/>
                <w:szCs w:val="18"/>
              </w:rPr>
            </w:pPr>
            <w:r w:rsidRPr="00761055">
              <w:rPr>
                <w:rFonts w:cstheme="minorHAnsi"/>
                <w:color w:val="000000"/>
                <w:sz w:val="18"/>
                <w:szCs w:val="18"/>
              </w:rPr>
              <w:t>30,2%</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B2" w14:textId="77777777" w:rsidR="00573680" w:rsidRPr="00761055" w:rsidRDefault="00573680">
            <w:pPr>
              <w:jc w:val="right"/>
              <w:rPr>
                <w:rFonts w:cstheme="minorHAnsi"/>
                <w:color w:val="000000"/>
                <w:sz w:val="18"/>
                <w:szCs w:val="18"/>
              </w:rPr>
            </w:pPr>
            <w:r w:rsidRPr="00761055">
              <w:rPr>
                <w:rFonts w:cstheme="minorHAnsi"/>
                <w:color w:val="000000"/>
                <w:sz w:val="18"/>
                <w:szCs w:val="18"/>
              </w:rPr>
              <w:t>18,0%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B3" w14:textId="77777777" w:rsidR="00573680" w:rsidRPr="00761055" w:rsidRDefault="00573680">
            <w:pPr>
              <w:jc w:val="right"/>
              <w:rPr>
                <w:rFonts w:cstheme="minorHAnsi"/>
                <w:color w:val="000000"/>
                <w:sz w:val="18"/>
                <w:szCs w:val="18"/>
              </w:rPr>
            </w:pPr>
            <w:r w:rsidRPr="00761055">
              <w:rPr>
                <w:rFonts w:cstheme="minorHAnsi"/>
                <w:color w:val="000000"/>
                <w:sz w:val="18"/>
                <w:szCs w:val="18"/>
              </w:rPr>
              <w:t>6,6%</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B4" w14:textId="77777777" w:rsidR="00573680" w:rsidRPr="00761055" w:rsidRDefault="00573680">
            <w:pPr>
              <w:jc w:val="right"/>
              <w:rPr>
                <w:rFonts w:cstheme="minorHAnsi"/>
                <w:color w:val="000000"/>
                <w:sz w:val="18"/>
                <w:szCs w:val="18"/>
              </w:rPr>
            </w:pPr>
            <w:r w:rsidRPr="00761055">
              <w:rPr>
                <w:rFonts w:cstheme="minorHAnsi"/>
                <w:color w:val="000000"/>
                <w:sz w:val="18"/>
                <w:szCs w:val="18"/>
              </w:rPr>
              <w:t>3,6%</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B5" w14:textId="77777777" w:rsidR="00573680" w:rsidRPr="00761055" w:rsidRDefault="00573680">
            <w:pPr>
              <w:jc w:val="right"/>
              <w:rPr>
                <w:rFonts w:cstheme="minorHAnsi"/>
                <w:color w:val="000000"/>
                <w:sz w:val="18"/>
                <w:szCs w:val="18"/>
              </w:rPr>
            </w:pPr>
            <w:r w:rsidRPr="00761055">
              <w:rPr>
                <w:rFonts w:cstheme="minorHAnsi"/>
                <w:color w:val="000000"/>
                <w:sz w:val="18"/>
                <w:szCs w:val="18"/>
              </w:rPr>
              <w:t>-1,7%</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B6" w14:textId="77777777" w:rsidR="00573680" w:rsidRPr="00761055" w:rsidRDefault="00573680">
            <w:pPr>
              <w:jc w:val="right"/>
              <w:rPr>
                <w:rFonts w:cstheme="minorHAnsi"/>
                <w:color w:val="000000"/>
                <w:sz w:val="18"/>
                <w:szCs w:val="18"/>
              </w:rPr>
            </w:pPr>
            <w:r w:rsidRPr="00761055">
              <w:rPr>
                <w:rFonts w:cstheme="minorHAnsi"/>
                <w:color w:val="000000"/>
                <w:sz w:val="18"/>
                <w:szCs w:val="18"/>
              </w:rPr>
              <w:t>-2,1%</w:t>
            </w:r>
          </w:p>
        </w:tc>
        <w:tc>
          <w:tcPr>
            <w:tcW w:w="5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B7" w14:textId="77777777" w:rsidR="00573680" w:rsidRPr="00761055" w:rsidRDefault="00573680">
            <w:pPr>
              <w:jc w:val="right"/>
              <w:rPr>
                <w:rFonts w:cstheme="minorHAnsi"/>
                <w:color w:val="000000"/>
                <w:sz w:val="18"/>
                <w:szCs w:val="18"/>
              </w:rPr>
            </w:pPr>
            <w:r w:rsidRPr="00761055">
              <w:rPr>
                <w:rFonts w:cstheme="minorHAnsi"/>
                <w:color w:val="000000"/>
                <w:sz w:val="18"/>
                <w:szCs w:val="18"/>
              </w:rPr>
              <w:t>0,0%</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B8" w14:textId="77777777" w:rsidR="00573680" w:rsidRPr="00761055" w:rsidRDefault="00573680">
            <w:pPr>
              <w:jc w:val="right"/>
              <w:rPr>
                <w:rFonts w:cstheme="minorHAnsi"/>
                <w:color w:val="000000"/>
                <w:sz w:val="18"/>
                <w:szCs w:val="18"/>
              </w:rPr>
            </w:pPr>
            <w:r w:rsidRPr="00761055">
              <w:rPr>
                <w:rFonts w:cstheme="minorHAnsi"/>
                <w:color w:val="000000"/>
                <w:sz w:val="18"/>
                <w:szCs w:val="18"/>
              </w:rPr>
              <w:t>105,0%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B9" w14:textId="77777777" w:rsidR="00573680" w:rsidRPr="00761055" w:rsidRDefault="00573680">
            <w:pPr>
              <w:jc w:val="right"/>
              <w:rPr>
                <w:rFonts w:cstheme="minorHAnsi"/>
                <w:color w:val="000000"/>
                <w:sz w:val="18"/>
                <w:szCs w:val="18"/>
              </w:rPr>
            </w:pPr>
            <w:r w:rsidRPr="00761055">
              <w:rPr>
                <w:rFonts w:cstheme="minorHAnsi"/>
                <w:color w:val="000000"/>
                <w:sz w:val="18"/>
                <w:szCs w:val="18"/>
              </w:rPr>
              <w:t>108,1%</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BA" w14:textId="77777777" w:rsidR="00573680" w:rsidRPr="00761055" w:rsidRDefault="00573680">
            <w:pPr>
              <w:jc w:val="right"/>
              <w:rPr>
                <w:rFonts w:cstheme="minorHAnsi"/>
                <w:color w:val="000000"/>
                <w:sz w:val="18"/>
                <w:szCs w:val="18"/>
              </w:rPr>
            </w:pPr>
            <w:r w:rsidRPr="00761055">
              <w:rPr>
                <w:rFonts w:cstheme="minorHAnsi"/>
                <w:color w:val="000000"/>
                <w:sz w:val="18"/>
                <w:szCs w:val="18"/>
              </w:rPr>
              <w:t>110,3%</w:t>
            </w:r>
          </w:p>
        </w:tc>
      </w:tr>
      <w:tr w:rsidR="007A2E50" w:rsidRPr="00761055" w14:paraId="569F1FCF" w14:textId="77777777" w:rsidTr="002F33BC">
        <w:trPr>
          <w:trHeight w:val="402"/>
        </w:trPr>
        <w:tc>
          <w:tcPr>
            <w:tcW w:w="2024" w:type="dxa"/>
            <w:tcBorders>
              <w:top w:val="nil"/>
              <w:left w:val="nil"/>
              <w:bottom w:val="nil"/>
              <w:right w:val="nil"/>
            </w:tcBorders>
            <w:shd w:val="clear" w:color="auto" w:fill="auto"/>
            <w:noWrap/>
            <w:vAlign w:val="bottom"/>
            <w:hideMark/>
          </w:tcPr>
          <w:p w14:paraId="569F1FBC"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 xml:space="preserve">Krimpen </w:t>
            </w:r>
            <w:proofErr w:type="spellStart"/>
            <w:r w:rsidRPr="00761055">
              <w:rPr>
                <w:rFonts w:eastAsia="Times New Roman" w:cstheme="minorHAnsi"/>
                <w:color w:val="000000"/>
                <w:sz w:val="18"/>
                <w:szCs w:val="18"/>
              </w:rPr>
              <w:t>a.d.</w:t>
            </w:r>
            <w:proofErr w:type="spellEnd"/>
            <w:r w:rsidRPr="00761055">
              <w:rPr>
                <w:rFonts w:eastAsia="Times New Roman" w:cstheme="minorHAnsi"/>
                <w:color w:val="000000"/>
                <w:sz w:val="18"/>
                <w:szCs w:val="18"/>
              </w:rPr>
              <w:t xml:space="preserve"> IJssel</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BD" w14:textId="77777777" w:rsidR="00573680" w:rsidRPr="00761055" w:rsidRDefault="00573680">
            <w:pPr>
              <w:jc w:val="right"/>
              <w:rPr>
                <w:rFonts w:cstheme="minorHAnsi"/>
                <w:color w:val="000000"/>
                <w:sz w:val="18"/>
                <w:szCs w:val="18"/>
              </w:rPr>
            </w:pPr>
            <w:r w:rsidRPr="00761055">
              <w:rPr>
                <w:rFonts w:cstheme="minorHAnsi"/>
                <w:color w:val="000000"/>
                <w:sz w:val="18"/>
                <w:szCs w:val="18"/>
              </w:rPr>
              <w:t>26,0%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BE" w14:textId="77777777" w:rsidR="00573680" w:rsidRPr="00761055" w:rsidRDefault="00573680">
            <w:pPr>
              <w:jc w:val="right"/>
              <w:rPr>
                <w:rFonts w:cstheme="minorHAnsi"/>
                <w:color w:val="000000"/>
                <w:sz w:val="18"/>
                <w:szCs w:val="18"/>
              </w:rPr>
            </w:pPr>
            <w:r w:rsidRPr="00761055">
              <w:rPr>
                <w:rFonts w:cstheme="minorHAnsi"/>
                <w:color w:val="000000"/>
                <w:sz w:val="18"/>
                <w:szCs w:val="18"/>
              </w:rPr>
              <w:t>32,7%</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BF" w14:textId="77777777" w:rsidR="00573680" w:rsidRPr="00761055" w:rsidRDefault="00573680">
            <w:pPr>
              <w:jc w:val="right"/>
              <w:rPr>
                <w:rFonts w:cstheme="minorHAnsi"/>
                <w:color w:val="000000"/>
                <w:sz w:val="18"/>
                <w:szCs w:val="18"/>
              </w:rPr>
            </w:pPr>
            <w:r w:rsidRPr="00761055">
              <w:rPr>
                <w:rFonts w:cstheme="minorHAnsi"/>
                <w:color w:val="000000"/>
                <w:sz w:val="18"/>
                <w:szCs w:val="18"/>
              </w:rPr>
              <w:t>80,0%</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C0" w14:textId="77777777" w:rsidR="00573680" w:rsidRPr="00761055" w:rsidRDefault="00573680">
            <w:pPr>
              <w:jc w:val="right"/>
              <w:rPr>
                <w:rFonts w:cstheme="minorHAnsi"/>
                <w:color w:val="000000"/>
                <w:sz w:val="18"/>
                <w:szCs w:val="18"/>
              </w:rPr>
            </w:pPr>
            <w:r w:rsidRPr="00761055">
              <w:rPr>
                <w:rFonts w:cstheme="minorHAnsi"/>
                <w:color w:val="000000"/>
                <w:sz w:val="18"/>
                <w:szCs w:val="18"/>
              </w:rPr>
              <w:t>27,7%</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C1" w14:textId="77777777" w:rsidR="00573680" w:rsidRPr="00761055" w:rsidRDefault="00573680">
            <w:pPr>
              <w:jc w:val="right"/>
              <w:rPr>
                <w:rFonts w:cstheme="minorHAnsi"/>
                <w:color w:val="000000"/>
                <w:sz w:val="18"/>
                <w:szCs w:val="18"/>
              </w:rPr>
            </w:pPr>
            <w:r w:rsidRPr="00761055">
              <w:rPr>
                <w:rFonts w:cstheme="minorHAnsi"/>
                <w:color w:val="000000"/>
                <w:sz w:val="18"/>
                <w:szCs w:val="18"/>
              </w:rPr>
              <w:t>34,4%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C2" w14:textId="77777777" w:rsidR="00573680" w:rsidRPr="00761055" w:rsidRDefault="00573680">
            <w:pPr>
              <w:jc w:val="right"/>
              <w:rPr>
                <w:rFonts w:cstheme="minorHAnsi"/>
                <w:color w:val="000000"/>
                <w:sz w:val="18"/>
                <w:szCs w:val="18"/>
              </w:rPr>
            </w:pPr>
            <w:r w:rsidRPr="00761055">
              <w:rPr>
                <w:rFonts w:cstheme="minorHAnsi"/>
                <w:color w:val="000000"/>
                <w:sz w:val="18"/>
                <w:szCs w:val="18"/>
              </w:rPr>
              <w:t>48,4%</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C3" w14:textId="77777777" w:rsidR="00573680" w:rsidRPr="00761055" w:rsidRDefault="00573680">
            <w:pPr>
              <w:jc w:val="right"/>
              <w:rPr>
                <w:rFonts w:cstheme="minorHAnsi"/>
                <w:color w:val="000000"/>
                <w:sz w:val="18"/>
                <w:szCs w:val="18"/>
              </w:rPr>
            </w:pPr>
            <w:r w:rsidRPr="00761055">
              <w:rPr>
                <w:rFonts w:cstheme="minorHAnsi"/>
                <w:color w:val="000000"/>
                <w:sz w:val="18"/>
                <w:szCs w:val="18"/>
              </w:rPr>
              <w:t>21,9%</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C4" w14:textId="77777777" w:rsidR="00573680" w:rsidRPr="00761055" w:rsidRDefault="00573680">
            <w:pPr>
              <w:jc w:val="right"/>
              <w:rPr>
                <w:rFonts w:cstheme="minorHAnsi"/>
                <w:color w:val="000000"/>
                <w:sz w:val="18"/>
                <w:szCs w:val="18"/>
              </w:rPr>
            </w:pPr>
            <w:r w:rsidRPr="00761055">
              <w:rPr>
                <w:rFonts w:cstheme="minorHAnsi"/>
                <w:color w:val="000000"/>
                <w:sz w:val="18"/>
                <w:szCs w:val="18"/>
              </w:rPr>
              <w:t>19,3%</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C5" w14:textId="77777777" w:rsidR="00573680" w:rsidRPr="00761055" w:rsidRDefault="00573680">
            <w:pPr>
              <w:jc w:val="right"/>
              <w:rPr>
                <w:rFonts w:cstheme="minorHAnsi"/>
                <w:color w:val="000000"/>
                <w:sz w:val="18"/>
                <w:szCs w:val="18"/>
              </w:rPr>
            </w:pPr>
            <w:r w:rsidRPr="00761055">
              <w:rPr>
                <w:rFonts w:cstheme="minorHAnsi"/>
                <w:color w:val="000000"/>
                <w:sz w:val="18"/>
                <w:szCs w:val="18"/>
              </w:rPr>
              <w:t>17,7%</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C6" w14:textId="77777777" w:rsidR="00573680" w:rsidRPr="00761055" w:rsidRDefault="00573680">
            <w:pPr>
              <w:jc w:val="right"/>
              <w:rPr>
                <w:rFonts w:cstheme="minorHAnsi"/>
                <w:color w:val="000000"/>
                <w:sz w:val="18"/>
                <w:szCs w:val="18"/>
              </w:rPr>
            </w:pPr>
            <w:r w:rsidRPr="00761055">
              <w:rPr>
                <w:rFonts w:cstheme="minorHAnsi"/>
                <w:color w:val="000000"/>
                <w:sz w:val="18"/>
                <w:szCs w:val="18"/>
              </w:rPr>
              <w:t>4,4%</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C7" w14:textId="77777777" w:rsidR="00573680" w:rsidRPr="00761055" w:rsidRDefault="00573680">
            <w:pPr>
              <w:jc w:val="right"/>
              <w:rPr>
                <w:rFonts w:cstheme="minorHAnsi"/>
                <w:color w:val="000000"/>
                <w:sz w:val="18"/>
                <w:szCs w:val="18"/>
              </w:rPr>
            </w:pPr>
            <w:r w:rsidRPr="00761055">
              <w:rPr>
                <w:rFonts w:cstheme="minorHAnsi"/>
                <w:color w:val="000000"/>
                <w:sz w:val="18"/>
                <w:szCs w:val="18"/>
              </w:rPr>
              <w:t>11,4%</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C8" w14:textId="77777777" w:rsidR="00573680" w:rsidRPr="00761055" w:rsidRDefault="00573680">
            <w:pPr>
              <w:jc w:val="right"/>
              <w:rPr>
                <w:rFonts w:cstheme="minorHAnsi"/>
                <w:color w:val="000000"/>
                <w:sz w:val="18"/>
                <w:szCs w:val="18"/>
              </w:rPr>
            </w:pPr>
            <w:r w:rsidRPr="00761055">
              <w:rPr>
                <w:rFonts w:cstheme="minorHAnsi"/>
                <w:color w:val="000000"/>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C9" w14:textId="77777777" w:rsidR="00573680" w:rsidRPr="00761055" w:rsidRDefault="00573680">
            <w:pPr>
              <w:jc w:val="right"/>
              <w:rPr>
                <w:rFonts w:cstheme="minorHAnsi"/>
                <w:color w:val="000000"/>
                <w:sz w:val="18"/>
                <w:szCs w:val="18"/>
              </w:rPr>
            </w:pPr>
            <w:r w:rsidRPr="00761055">
              <w:rPr>
                <w:rFonts w:cstheme="minorHAnsi"/>
                <w:color w:val="000000"/>
                <w:sz w:val="18"/>
                <w:szCs w:val="18"/>
              </w:rPr>
              <w:t>4,1%</w:t>
            </w:r>
          </w:p>
        </w:tc>
        <w:tc>
          <w:tcPr>
            <w:tcW w:w="64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CA" w14:textId="77777777" w:rsidR="00573680" w:rsidRPr="00761055" w:rsidRDefault="00573680">
            <w:pPr>
              <w:jc w:val="right"/>
              <w:rPr>
                <w:rFonts w:cstheme="minorHAnsi"/>
                <w:color w:val="000000"/>
                <w:sz w:val="18"/>
                <w:szCs w:val="18"/>
              </w:rPr>
            </w:pPr>
            <w:r w:rsidRPr="00761055">
              <w:rPr>
                <w:rFonts w:cstheme="minorHAnsi"/>
                <w:color w:val="000000"/>
                <w:sz w:val="18"/>
                <w:szCs w:val="18"/>
              </w:rPr>
              <w:t>0,1%</w:t>
            </w:r>
          </w:p>
        </w:tc>
        <w:tc>
          <w:tcPr>
            <w:tcW w:w="5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CB"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CC" w14:textId="77777777" w:rsidR="00573680" w:rsidRPr="00761055" w:rsidRDefault="00573680">
            <w:pPr>
              <w:jc w:val="right"/>
              <w:rPr>
                <w:rFonts w:cstheme="minorHAnsi"/>
                <w:color w:val="000000"/>
                <w:sz w:val="18"/>
                <w:szCs w:val="18"/>
              </w:rPr>
            </w:pPr>
            <w:r w:rsidRPr="00761055">
              <w:rPr>
                <w:rFonts w:cstheme="minorHAnsi"/>
                <w:color w:val="000000"/>
                <w:sz w:val="18"/>
                <w:szCs w:val="18"/>
              </w:rPr>
              <w:t>115,0%</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CD" w14:textId="77777777" w:rsidR="00573680" w:rsidRPr="00761055" w:rsidRDefault="00573680">
            <w:pPr>
              <w:jc w:val="right"/>
              <w:rPr>
                <w:rFonts w:cstheme="minorHAnsi"/>
                <w:color w:val="000000"/>
                <w:sz w:val="18"/>
                <w:szCs w:val="18"/>
              </w:rPr>
            </w:pPr>
            <w:r w:rsidRPr="00761055">
              <w:rPr>
                <w:rFonts w:cstheme="minorHAnsi"/>
                <w:color w:val="000000"/>
                <w:sz w:val="18"/>
                <w:szCs w:val="18"/>
              </w:rPr>
              <w:t>114,9%</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CE" w14:textId="77777777" w:rsidR="00573680" w:rsidRPr="00761055" w:rsidRDefault="00573680">
            <w:pPr>
              <w:jc w:val="right"/>
              <w:rPr>
                <w:rFonts w:cstheme="minorHAnsi"/>
                <w:color w:val="000000"/>
                <w:sz w:val="18"/>
                <w:szCs w:val="18"/>
              </w:rPr>
            </w:pPr>
            <w:r w:rsidRPr="00761055">
              <w:rPr>
                <w:rFonts w:cstheme="minorHAnsi"/>
                <w:color w:val="000000"/>
                <w:sz w:val="18"/>
                <w:szCs w:val="18"/>
              </w:rPr>
              <w:t>113,7%</w:t>
            </w:r>
          </w:p>
        </w:tc>
      </w:tr>
      <w:tr w:rsidR="007A2E50" w:rsidRPr="00761055" w14:paraId="569F1FE3" w14:textId="77777777" w:rsidTr="002F33BC">
        <w:trPr>
          <w:trHeight w:val="402"/>
        </w:trPr>
        <w:tc>
          <w:tcPr>
            <w:tcW w:w="2024" w:type="dxa"/>
            <w:tcBorders>
              <w:top w:val="nil"/>
              <w:left w:val="nil"/>
              <w:bottom w:val="nil"/>
              <w:right w:val="nil"/>
            </w:tcBorders>
            <w:shd w:val="clear" w:color="auto" w:fill="auto"/>
            <w:noWrap/>
            <w:vAlign w:val="bottom"/>
            <w:hideMark/>
          </w:tcPr>
          <w:p w14:paraId="569F1FD0"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Krimpenerwaard</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D1"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D2" w14:textId="77777777" w:rsidR="00573680" w:rsidRPr="00761055" w:rsidRDefault="00573680">
            <w:pPr>
              <w:jc w:val="right"/>
              <w:rPr>
                <w:rFonts w:cstheme="minorHAnsi"/>
                <w:color w:val="000000"/>
                <w:sz w:val="18"/>
                <w:szCs w:val="18"/>
              </w:rPr>
            </w:pPr>
            <w:r w:rsidRPr="00761055">
              <w:rPr>
                <w:rFonts w:cstheme="minorHAnsi"/>
                <w:color w:val="000000"/>
                <w:sz w:val="18"/>
                <w:szCs w:val="18"/>
              </w:rPr>
              <w:t>55,0%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D3" w14:textId="77777777" w:rsidR="00573680" w:rsidRPr="00761055" w:rsidRDefault="00573680">
            <w:pPr>
              <w:jc w:val="right"/>
              <w:rPr>
                <w:rFonts w:cstheme="minorHAnsi"/>
                <w:color w:val="000000"/>
                <w:sz w:val="18"/>
                <w:szCs w:val="18"/>
              </w:rPr>
            </w:pPr>
            <w:r w:rsidRPr="00761055">
              <w:rPr>
                <w:rFonts w:cstheme="minorHAnsi"/>
                <w:color w:val="000000"/>
                <w:sz w:val="18"/>
                <w:szCs w:val="18"/>
              </w:rPr>
              <w:t>74,0%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D4"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9F1FD5" w14:textId="77777777" w:rsidR="00573680" w:rsidRPr="00761055" w:rsidRDefault="00573680">
            <w:pPr>
              <w:jc w:val="right"/>
              <w:rPr>
                <w:rFonts w:cstheme="minorHAnsi"/>
                <w:color w:val="000000"/>
                <w:sz w:val="18"/>
                <w:szCs w:val="18"/>
              </w:rPr>
            </w:pPr>
            <w:r w:rsidRPr="00761055">
              <w:rPr>
                <w:rFonts w:cstheme="minorHAnsi"/>
                <w:color w:val="000000"/>
                <w:sz w:val="18"/>
                <w:szCs w:val="18"/>
              </w:rPr>
              <w:t>69,0%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D6" w14:textId="77777777" w:rsidR="00573680" w:rsidRPr="00761055" w:rsidRDefault="00573680">
            <w:pPr>
              <w:jc w:val="right"/>
              <w:rPr>
                <w:rFonts w:cstheme="minorHAnsi"/>
                <w:color w:val="000000"/>
                <w:sz w:val="18"/>
                <w:szCs w:val="18"/>
              </w:rPr>
            </w:pPr>
            <w:r w:rsidRPr="00761055">
              <w:rPr>
                <w:rFonts w:cstheme="minorHAnsi"/>
                <w:color w:val="000000"/>
                <w:sz w:val="18"/>
                <w:szCs w:val="18"/>
              </w:rPr>
              <w:t>89,0%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D7"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69F1FD8" w14:textId="77777777" w:rsidR="00573680" w:rsidRPr="00761055" w:rsidRDefault="00573680">
            <w:pPr>
              <w:jc w:val="right"/>
              <w:rPr>
                <w:rFonts w:cstheme="minorHAnsi"/>
                <w:color w:val="000000"/>
                <w:sz w:val="18"/>
                <w:szCs w:val="18"/>
              </w:rPr>
            </w:pPr>
            <w:r w:rsidRPr="00761055">
              <w:rPr>
                <w:rFonts w:cstheme="minorHAnsi"/>
                <w:color w:val="000000"/>
                <w:sz w:val="18"/>
                <w:szCs w:val="18"/>
              </w:rPr>
              <w:t>34,0%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D9" w14:textId="77777777" w:rsidR="00573680" w:rsidRPr="00761055" w:rsidRDefault="00573680">
            <w:pPr>
              <w:jc w:val="right"/>
              <w:rPr>
                <w:rFonts w:cstheme="minorHAnsi"/>
                <w:color w:val="000000"/>
                <w:sz w:val="18"/>
                <w:szCs w:val="18"/>
              </w:rPr>
            </w:pPr>
            <w:r w:rsidRPr="00761055">
              <w:rPr>
                <w:rFonts w:cstheme="minorHAnsi"/>
                <w:color w:val="000000"/>
                <w:sz w:val="18"/>
                <w:szCs w:val="18"/>
              </w:rPr>
              <w:t>30,0%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D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DB" w14:textId="77777777" w:rsidR="00573680" w:rsidRPr="00761055" w:rsidRDefault="00573680">
            <w:pPr>
              <w:jc w:val="right"/>
              <w:rPr>
                <w:rFonts w:cstheme="minorHAnsi"/>
                <w:color w:val="000000"/>
                <w:sz w:val="18"/>
                <w:szCs w:val="18"/>
              </w:rPr>
            </w:pPr>
            <w:r w:rsidRPr="00761055">
              <w:rPr>
                <w:rFonts w:cstheme="minorHAnsi"/>
                <w:color w:val="000000"/>
                <w:sz w:val="18"/>
                <w:szCs w:val="18"/>
              </w:rPr>
              <w:t>56,0%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DC" w14:textId="77777777" w:rsidR="00573680" w:rsidRPr="00761055" w:rsidRDefault="00573680">
            <w:pPr>
              <w:jc w:val="right"/>
              <w:rPr>
                <w:rFonts w:cstheme="minorHAnsi"/>
                <w:color w:val="000000"/>
                <w:sz w:val="18"/>
                <w:szCs w:val="18"/>
              </w:rPr>
            </w:pPr>
            <w:r w:rsidRPr="00761055">
              <w:rPr>
                <w:rFonts w:cstheme="minorHAnsi"/>
                <w:color w:val="000000"/>
                <w:sz w:val="18"/>
                <w:szCs w:val="18"/>
              </w:rPr>
              <w:t>55,0%</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D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DE" w14:textId="77777777" w:rsidR="00573680" w:rsidRPr="00761055" w:rsidRDefault="00573680">
            <w:pPr>
              <w:jc w:val="right"/>
              <w:rPr>
                <w:rFonts w:cstheme="minorHAnsi"/>
                <w:color w:val="000000"/>
                <w:sz w:val="18"/>
                <w:szCs w:val="18"/>
              </w:rPr>
            </w:pPr>
            <w:r w:rsidRPr="00761055">
              <w:rPr>
                <w:rFonts w:cstheme="minorHAnsi"/>
                <w:color w:val="000000"/>
                <w:sz w:val="18"/>
                <w:szCs w:val="18"/>
              </w:rPr>
              <w:t>-6,0%</w:t>
            </w:r>
          </w:p>
        </w:tc>
        <w:tc>
          <w:tcPr>
            <w:tcW w:w="5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DF" w14:textId="77777777" w:rsidR="00573680" w:rsidRPr="00761055" w:rsidRDefault="00573680">
            <w:pPr>
              <w:jc w:val="right"/>
              <w:rPr>
                <w:rFonts w:cstheme="minorHAnsi"/>
                <w:color w:val="000000"/>
                <w:sz w:val="18"/>
                <w:szCs w:val="18"/>
              </w:rPr>
            </w:pPr>
            <w:r w:rsidRPr="00761055">
              <w:rPr>
                <w:rFonts w:cstheme="minorHAnsi"/>
                <w:color w:val="000000"/>
                <w:sz w:val="18"/>
                <w:szCs w:val="18"/>
              </w:rPr>
              <w:t>-4,0%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1FE0"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69F1FE1" w14:textId="77777777" w:rsidR="00573680" w:rsidRPr="00761055" w:rsidRDefault="00573680">
            <w:pPr>
              <w:jc w:val="right"/>
              <w:rPr>
                <w:rFonts w:cstheme="minorHAnsi"/>
                <w:color w:val="000000"/>
                <w:sz w:val="18"/>
                <w:szCs w:val="18"/>
              </w:rPr>
            </w:pPr>
            <w:r w:rsidRPr="00761055">
              <w:rPr>
                <w:rFonts w:cstheme="minorHAnsi"/>
                <w:color w:val="000000"/>
                <w:sz w:val="18"/>
                <w:szCs w:val="18"/>
              </w:rPr>
              <w:t>113,0%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2" w14:textId="77777777" w:rsidR="00573680" w:rsidRPr="00761055" w:rsidRDefault="00573680">
            <w:pPr>
              <w:jc w:val="right"/>
              <w:rPr>
                <w:rFonts w:cstheme="minorHAnsi"/>
                <w:color w:val="000000"/>
                <w:sz w:val="18"/>
                <w:szCs w:val="18"/>
              </w:rPr>
            </w:pPr>
            <w:r w:rsidRPr="00761055">
              <w:rPr>
                <w:rFonts w:cstheme="minorHAnsi"/>
                <w:color w:val="000000"/>
                <w:sz w:val="18"/>
                <w:szCs w:val="18"/>
              </w:rPr>
              <w:t>110,0%</w:t>
            </w:r>
          </w:p>
        </w:tc>
      </w:tr>
      <w:tr w:rsidR="007A2E50" w:rsidRPr="00761055" w14:paraId="569F1FF7" w14:textId="77777777" w:rsidTr="002F33BC">
        <w:trPr>
          <w:trHeight w:val="402"/>
        </w:trPr>
        <w:tc>
          <w:tcPr>
            <w:tcW w:w="2024" w:type="dxa"/>
            <w:tcBorders>
              <w:top w:val="nil"/>
              <w:left w:val="nil"/>
              <w:bottom w:val="nil"/>
              <w:right w:val="nil"/>
            </w:tcBorders>
            <w:shd w:val="clear" w:color="auto" w:fill="auto"/>
            <w:noWrap/>
            <w:vAlign w:val="bottom"/>
            <w:hideMark/>
          </w:tcPr>
          <w:p w14:paraId="569F1FE4"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Lansingerland</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5" w14:textId="77777777" w:rsidR="00573680" w:rsidRPr="00761055" w:rsidRDefault="00573680">
            <w:pPr>
              <w:jc w:val="right"/>
              <w:rPr>
                <w:rFonts w:cstheme="minorHAnsi"/>
                <w:color w:val="000000"/>
                <w:sz w:val="18"/>
                <w:szCs w:val="18"/>
              </w:rPr>
            </w:pPr>
            <w:r w:rsidRPr="00761055">
              <w:rPr>
                <w:rFonts w:cstheme="minorHAnsi"/>
                <w:color w:val="000000"/>
                <w:sz w:val="18"/>
                <w:szCs w:val="18"/>
              </w:rPr>
              <w:t>209,0%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6" w14:textId="77777777" w:rsidR="00573680" w:rsidRPr="00761055" w:rsidRDefault="00573680">
            <w:pPr>
              <w:jc w:val="right"/>
              <w:rPr>
                <w:rFonts w:cstheme="minorHAnsi"/>
                <w:color w:val="000000"/>
                <w:sz w:val="18"/>
                <w:szCs w:val="18"/>
              </w:rPr>
            </w:pPr>
            <w:r w:rsidRPr="00761055">
              <w:rPr>
                <w:rFonts w:cstheme="minorHAnsi"/>
                <w:color w:val="000000"/>
                <w:sz w:val="18"/>
                <w:szCs w:val="18"/>
              </w:rPr>
              <w:t>207,0%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7" w14:textId="77777777" w:rsidR="00573680" w:rsidRPr="00761055" w:rsidRDefault="00573680">
            <w:pPr>
              <w:jc w:val="right"/>
              <w:rPr>
                <w:rFonts w:cstheme="minorHAnsi"/>
                <w:color w:val="000000"/>
                <w:sz w:val="18"/>
                <w:szCs w:val="18"/>
              </w:rPr>
            </w:pPr>
            <w:r w:rsidRPr="00761055">
              <w:rPr>
                <w:rFonts w:cstheme="minorHAnsi"/>
                <w:color w:val="000000"/>
                <w:sz w:val="18"/>
                <w:szCs w:val="18"/>
              </w:rPr>
              <w:t>225,0%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8" w14:textId="77777777" w:rsidR="00573680" w:rsidRPr="00761055" w:rsidRDefault="00573680">
            <w:pPr>
              <w:jc w:val="right"/>
              <w:rPr>
                <w:rFonts w:cstheme="minorHAnsi"/>
                <w:color w:val="000000"/>
                <w:sz w:val="18"/>
                <w:szCs w:val="18"/>
              </w:rPr>
            </w:pPr>
            <w:r w:rsidRPr="00761055">
              <w:rPr>
                <w:rFonts w:cstheme="minorHAnsi"/>
                <w:color w:val="000000"/>
                <w:sz w:val="18"/>
                <w:szCs w:val="18"/>
              </w:rPr>
              <w:t>210,0%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9" w14:textId="77777777" w:rsidR="00573680" w:rsidRPr="00761055" w:rsidRDefault="00573680">
            <w:pPr>
              <w:jc w:val="right"/>
              <w:rPr>
                <w:rFonts w:cstheme="minorHAnsi"/>
                <w:color w:val="000000"/>
                <w:sz w:val="18"/>
                <w:szCs w:val="18"/>
              </w:rPr>
            </w:pPr>
            <w:r w:rsidRPr="00761055">
              <w:rPr>
                <w:rFonts w:cstheme="minorHAnsi"/>
                <w:color w:val="000000"/>
                <w:sz w:val="18"/>
                <w:szCs w:val="18"/>
              </w:rPr>
              <w:t>208,0%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A" w14:textId="77777777" w:rsidR="00573680" w:rsidRPr="00761055" w:rsidRDefault="00573680">
            <w:pPr>
              <w:jc w:val="right"/>
              <w:rPr>
                <w:rFonts w:cstheme="minorHAnsi"/>
                <w:color w:val="000000"/>
                <w:sz w:val="18"/>
                <w:szCs w:val="18"/>
              </w:rPr>
            </w:pPr>
            <w:r w:rsidRPr="00761055">
              <w:rPr>
                <w:rFonts w:cstheme="minorHAnsi"/>
                <w:color w:val="000000"/>
                <w:sz w:val="18"/>
                <w:szCs w:val="18"/>
              </w:rPr>
              <w:t>226,0%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B" w14:textId="77777777" w:rsidR="00573680" w:rsidRPr="00761055" w:rsidRDefault="00573680">
            <w:pPr>
              <w:jc w:val="right"/>
              <w:rPr>
                <w:rFonts w:cstheme="minorHAnsi"/>
                <w:color w:val="000000"/>
                <w:sz w:val="18"/>
                <w:szCs w:val="18"/>
              </w:rPr>
            </w:pPr>
            <w:r w:rsidRPr="00761055">
              <w:rPr>
                <w:rFonts w:cstheme="minorHAnsi"/>
                <w:color w:val="000000"/>
                <w:sz w:val="18"/>
                <w:szCs w:val="18"/>
              </w:rPr>
              <w:t>10,0%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C" w14:textId="77777777" w:rsidR="00573680" w:rsidRPr="00761055" w:rsidRDefault="00573680">
            <w:pPr>
              <w:jc w:val="right"/>
              <w:rPr>
                <w:rFonts w:cstheme="minorHAnsi"/>
                <w:color w:val="000000"/>
                <w:sz w:val="18"/>
                <w:szCs w:val="18"/>
              </w:rPr>
            </w:pPr>
            <w:r w:rsidRPr="00761055">
              <w:rPr>
                <w:rFonts w:cstheme="minorHAnsi"/>
                <w:color w:val="000000"/>
                <w:sz w:val="18"/>
                <w:szCs w:val="18"/>
              </w:rPr>
              <w:t>12,0%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D" w14:textId="77777777" w:rsidR="00573680" w:rsidRPr="00761055" w:rsidRDefault="00573680">
            <w:pPr>
              <w:jc w:val="right"/>
              <w:rPr>
                <w:rFonts w:cstheme="minorHAnsi"/>
                <w:color w:val="000000"/>
                <w:sz w:val="18"/>
                <w:szCs w:val="18"/>
              </w:rPr>
            </w:pPr>
            <w:r w:rsidRPr="00761055">
              <w:rPr>
                <w:rFonts w:cstheme="minorHAnsi"/>
                <w:color w:val="000000"/>
                <w:sz w:val="18"/>
                <w:szCs w:val="18"/>
              </w:rPr>
              <w:t>14,0%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E" w14:textId="77777777" w:rsidR="00573680" w:rsidRPr="00761055" w:rsidRDefault="00573680">
            <w:pPr>
              <w:jc w:val="right"/>
              <w:rPr>
                <w:rFonts w:cstheme="minorHAnsi"/>
                <w:color w:val="000000"/>
                <w:sz w:val="18"/>
                <w:szCs w:val="18"/>
              </w:rPr>
            </w:pPr>
            <w:r w:rsidRPr="00761055">
              <w:rPr>
                <w:rFonts w:cstheme="minorHAnsi"/>
                <w:color w:val="000000"/>
                <w:sz w:val="18"/>
                <w:szCs w:val="18"/>
              </w:rPr>
              <w:t>109,0%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EF" w14:textId="77777777" w:rsidR="00573680" w:rsidRPr="00761055" w:rsidRDefault="00573680">
            <w:pPr>
              <w:jc w:val="right"/>
              <w:rPr>
                <w:rFonts w:cstheme="minorHAnsi"/>
                <w:color w:val="000000"/>
                <w:sz w:val="18"/>
                <w:szCs w:val="18"/>
              </w:rPr>
            </w:pPr>
            <w:r w:rsidRPr="00761055">
              <w:rPr>
                <w:rFonts w:cstheme="minorHAnsi"/>
                <w:color w:val="000000"/>
                <w:sz w:val="18"/>
                <w:szCs w:val="18"/>
              </w:rPr>
              <w:t>126,0%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F0" w14:textId="77777777" w:rsidR="00573680" w:rsidRPr="00761055" w:rsidRDefault="00573680">
            <w:pPr>
              <w:jc w:val="right"/>
              <w:rPr>
                <w:rFonts w:cstheme="minorHAnsi"/>
                <w:color w:val="000000"/>
                <w:sz w:val="18"/>
                <w:szCs w:val="18"/>
              </w:rPr>
            </w:pPr>
            <w:r w:rsidRPr="00761055">
              <w:rPr>
                <w:rFonts w:cstheme="minorHAnsi"/>
                <w:color w:val="000000"/>
                <w:sz w:val="18"/>
                <w:szCs w:val="18"/>
              </w:rPr>
              <w:t>137,0%</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F1" w14:textId="77777777" w:rsidR="00573680" w:rsidRPr="00761055" w:rsidRDefault="00573680">
            <w:pPr>
              <w:jc w:val="right"/>
              <w:rPr>
                <w:rFonts w:cstheme="minorHAnsi"/>
                <w:color w:val="000000"/>
                <w:sz w:val="18"/>
                <w:szCs w:val="18"/>
              </w:rPr>
            </w:pPr>
            <w:r w:rsidRPr="00761055">
              <w:rPr>
                <w:rFonts w:cstheme="minorHAnsi"/>
                <w:color w:val="000000"/>
                <w:sz w:val="18"/>
                <w:szCs w:val="18"/>
              </w:rPr>
              <w:t>10,0%</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F2" w14:textId="77777777" w:rsidR="00573680" w:rsidRPr="00761055" w:rsidRDefault="00573680">
            <w:pPr>
              <w:jc w:val="right"/>
              <w:rPr>
                <w:rFonts w:cstheme="minorHAnsi"/>
                <w:color w:val="000000"/>
                <w:sz w:val="18"/>
                <w:szCs w:val="18"/>
              </w:rPr>
            </w:pPr>
            <w:r w:rsidRPr="00761055">
              <w:rPr>
                <w:rFonts w:cstheme="minorHAnsi"/>
                <w:color w:val="000000"/>
                <w:sz w:val="18"/>
                <w:szCs w:val="18"/>
              </w:rPr>
              <w:t>15,0%</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1FF3" w14:textId="77777777" w:rsidR="00573680" w:rsidRPr="00761055" w:rsidRDefault="00573680">
            <w:pPr>
              <w:jc w:val="right"/>
              <w:rPr>
                <w:rFonts w:cstheme="minorHAnsi"/>
                <w:color w:val="000000"/>
                <w:sz w:val="18"/>
                <w:szCs w:val="18"/>
              </w:rPr>
            </w:pPr>
            <w:r w:rsidRPr="00761055">
              <w:rPr>
                <w:rFonts w:cstheme="minorHAnsi"/>
                <w:color w:val="000000"/>
                <w:sz w:val="18"/>
                <w:szCs w:val="18"/>
              </w:rPr>
              <w:t>4,0%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F4" w14:textId="77777777" w:rsidR="00573680" w:rsidRPr="00761055" w:rsidRDefault="00573680">
            <w:pPr>
              <w:jc w:val="right"/>
              <w:rPr>
                <w:rFonts w:cstheme="minorHAnsi"/>
                <w:color w:val="000000"/>
                <w:sz w:val="18"/>
                <w:szCs w:val="18"/>
              </w:rPr>
            </w:pPr>
            <w:r w:rsidRPr="00761055">
              <w:rPr>
                <w:rFonts w:cstheme="minorHAnsi"/>
                <w:color w:val="000000"/>
                <w:sz w:val="18"/>
                <w:szCs w:val="18"/>
              </w:rPr>
              <w:t>134,0%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F5" w14:textId="77777777" w:rsidR="00573680" w:rsidRPr="00761055" w:rsidRDefault="00573680">
            <w:pPr>
              <w:jc w:val="right"/>
              <w:rPr>
                <w:rFonts w:cstheme="minorHAnsi"/>
                <w:color w:val="000000"/>
                <w:sz w:val="18"/>
                <w:szCs w:val="18"/>
              </w:rPr>
            </w:pPr>
            <w:r w:rsidRPr="00761055">
              <w:rPr>
                <w:rFonts w:cstheme="minorHAnsi"/>
                <w:color w:val="000000"/>
                <w:sz w:val="18"/>
                <w:szCs w:val="18"/>
              </w:rPr>
              <w:t>138,0%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1FF6" w14:textId="77777777" w:rsidR="00573680" w:rsidRPr="00761055" w:rsidRDefault="00573680">
            <w:pPr>
              <w:jc w:val="right"/>
              <w:rPr>
                <w:rFonts w:cstheme="minorHAnsi"/>
                <w:color w:val="000000"/>
                <w:sz w:val="18"/>
                <w:szCs w:val="18"/>
              </w:rPr>
            </w:pPr>
            <w:r w:rsidRPr="00761055">
              <w:rPr>
                <w:rFonts w:cstheme="minorHAnsi"/>
                <w:color w:val="000000"/>
                <w:sz w:val="18"/>
                <w:szCs w:val="18"/>
              </w:rPr>
              <w:t>131,0%</w:t>
            </w:r>
          </w:p>
        </w:tc>
      </w:tr>
      <w:tr w:rsidR="007A2E50" w:rsidRPr="00761055" w14:paraId="569F200B" w14:textId="77777777" w:rsidTr="002F33BC">
        <w:trPr>
          <w:trHeight w:val="402"/>
        </w:trPr>
        <w:tc>
          <w:tcPr>
            <w:tcW w:w="2024" w:type="dxa"/>
            <w:tcBorders>
              <w:top w:val="nil"/>
              <w:left w:val="nil"/>
              <w:bottom w:val="nil"/>
              <w:right w:val="nil"/>
            </w:tcBorders>
            <w:shd w:val="clear" w:color="auto" w:fill="auto"/>
            <w:noWrap/>
            <w:vAlign w:val="bottom"/>
            <w:hideMark/>
          </w:tcPr>
          <w:p w14:paraId="569F1FF8"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Leerdam</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F9" w14:textId="77777777" w:rsidR="00573680" w:rsidRPr="00761055" w:rsidRDefault="00573680">
            <w:pPr>
              <w:jc w:val="right"/>
              <w:rPr>
                <w:rFonts w:cstheme="minorHAnsi"/>
                <w:color w:val="000000"/>
                <w:sz w:val="18"/>
                <w:szCs w:val="18"/>
              </w:rPr>
            </w:pPr>
            <w:r w:rsidRPr="00761055">
              <w:rPr>
                <w:rFonts w:cstheme="minorHAnsi"/>
                <w:color w:val="000000"/>
                <w:sz w:val="18"/>
                <w:szCs w:val="18"/>
              </w:rPr>
              <w:t>109,5%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FA" w14:textId="77777777" w:rsidR="00573680" w:rsidRPr="00761055" w:rsidRDefault="00573680">
            <w:pPr>
              <w:jc w:val="right"/>
              <w:rPr>
                <w:rFonts w:cstheme="minorHAnsi"/>
                <w:color w:val="000000"/>
                <w:sz w:val="18"/>
                <w:szCs w:val="18"/>
              </w:rPr>
            </w:pPr>
            <w:r w:rsidRPr="00761055">
              <w:rPr>
                <w:rFonts w:cstheme="minorHAnsi"/>
                <w:color w:val="000000"/>
                <w:sz w:val="18"/>
                <w:szCs w:val="18"/>
              </w:rPr>
              <w:t>91,0%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FB" w14:textId="77777777" w:rsidR="00573680" w:rsidRPr="00761055" w:rsidRDefault="00573680">
            <w:pPr>
              <w:jc w:val="right"/>
              <w:rPr>
                <w:rFonts w:cstheme="minorHAnsi"/>
                <w:color w:val="000000"/>
                <w:sz w:val="18"/>
                <w:szCs w:val="18"/>
              </w:rPr>
            </w:pPr>
            <w:r w:rsidRPr="00761055">
              <w:rPr>
                <w:rFonts w:cstheme="minorHAnsi"/>
                <w:color w:val="000000"/>
                <w:sz w:val="18"/>
                <w:szCs w:val="18"/>
              </w:rPr>
              <w:t>94,0%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1FFC"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1FF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1FFE" w14:textId="77777777" w:rsidR="00573680" w:rsidRPr="00761055" w:rsidRDefault="00573680">
            <w:pPr>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1FFF" w14:textId="77777777" w:rsidR="00573680" w:rsidRPr="00761055" w:rsidRDefault="00573680">
            <w:pPr>
              <w:jc w:val="right"/>
              <w:rPr>
                <w:rFonts w:cstheme="minorHAnsi"/>
                <w:color w:val="000000"/>
                <w:sz w:val="18"/>
                <w:szCs w:val="18"/>
              </w:rPr>
            </w:pPr>
            <w:r w:rsidRPr="00761055">
              <w:rPr>
                <w:rFonts w:cstheme="minorHAnsi"/>
                <w:color w:val="000000"/>
                <w:sz w:val="18"/>
                <w:szCs w:val="18"/>
              </w:rPr>
              <w:t>28,0%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00" w14:textId="77777777" w:rsidR="00573680" w:rsidRPr="00761055" w:rsidRDefault="00573680">
            <w:pPr>
              <w:jc w:val="right"/>
              <w:rPr>
                <w:rFonts w:cstheme="minorHAnsi"/>
                <w:color w:val="000000"/>
                <w:sz w:val="18"/>
                <w:szCs w:val="18"/>
              </w:rPr>
            </w:pPr>
            <w:r w:rsidRPr="00761055">
              <w:rPr>
                <w:rFonts w:cstheme="minorHAnsi"/>
                <w:color w:val="000000"/>
                <w:sz w:val="18"/>
                <w:szCs w:val="18"/>
              </w:rPr>
              <w:t>26,0%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01" w14:textId="77777777" w:rsidR="00573680" w:rsidRPr="00761055" w:rsidRDefault="00573680">
            <w:pPr>
              <w:jc w:val="right"/>
              <w:rPr>
                <w:rFonts w:cstheme="minorHAnsi"/>
                <w:color w:val="000000"/>
                <w:sz w:val="18"/>
                <w:szCs w:val="18"/>
              </w:rPr>
            </w:pPr>
            <w:r w:rsidRPr="00761055">
              <w:rPr>
                <w:rFonts w:cstheme="minorHAnsi"/>
                <w:color w:val="000000"/>
                <w:sz w:val="18"/>
                <w:szCs w:val="18"/>
              </w:rPr>
              <w:t>26,0%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02" w14:textId="77777777" w:rsidR="00573680" w:rsidRPr="00761055" w:rsidRDefault="00573680">
            <w:pPr>
              <w:jc w:val="right"/>
              <w:rPr>
                <w:rFonts w:cstheme="minorHAnsi"/>
                <w:color w:val="000000"/>
                <w:sz w:val="18"/>
                <w:szCs w:val="18"/>
              </w:rPr>
            </w:pPr>
            <w:r w:rsidRPr="00761055">
              <w:rPr>
                <w:rFonts w:cstheme="minorHAnsi"/>
                <w:color w:val="000000"/>
                <w:sz w:val="18"/>
                <w:szCs w:val="18"/>
              </w:rPr>
              <w:t>49,0%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03" w14:textId="77777777" w:rsidR="00573680" w:rsidRPr="00761055" w:rsidRDefault="00573680">
            <w:pPr>
              <w:jc w:val="right"/>
              <w:rPr>
                <w:rFonts w:cstheme="minorHAnsi"/>
                <w:color w:val="000000"/>
                <w:sz w:val="18"/>
                <w:szCs w:val="18"/>
              </w:rPr>
            </w:pPr>
            <w:r w:rsidRPr="00761055">
              <w:rPr>
                <w:rFonts w:cstheme="minorHAnsi"/>
                <w:color w:val="000000"/>
                <w:sz w:val="18"/>
                <w:szCs w:val="18"/>
              </w:rPr>
              <w:t>41,0%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04" w14:textId="77777777" w:rsidR="00573680" w:rsidRPr="00761055" w:rsidRDefault="00573680">
            <w:pPr>
              <w:jc w:val="right"/>
              <w:rPr>
                <w:rFonts w:cstheme="minorHAnsi"/>
                <w:color w:val="000000"/>
                <w:sz w:val="18"/>
                <w:szCs w:val="18"/>
              </w:rPr>
            </w:pPr>
            <w:r w:rsidRPr="00761055">
              <w:rPr>
                <w:rFonts w:cstheme="minorHAnsi"/>
                <w:color w:val="000000"/>
                <w:sz w:val="18"/>
                <w:szCs w:val="18"/>
              </w:rPr>
              <w:t>42,0%</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05"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0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07" w14:textId="77777777" w:rsidR="00573680" w:rsidRPr="00761055" w:rsidRDefault="00573680">
            <w:pPr>
              <w:jc w:val="right"/>
              <w:rPr>
                <w:rFonts w:cstheme="minorHAnsi"/>
                <w:color w:val="000000"/>
                <w:sz w:val="18"/>
                <w:szCs w:val="18"/>
              </w:rPr>
            </w:pPr>
            <w:r w:rsidRPr="00761055">
              <w:rPr>
                <w:rFonts w:cstheme="minorHAnsi"/>
                <w:color w:val="000000"/>
                <w:sz w:val="18"/>
                <w:szCs w:val="18"/>
              </w:rPr>
              <w:t>6,0%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08" w14:textId="77777777" w:rsidR="00573680" w:rsidRPr="00761055" w:rsidRDefault="00573680">
            <w:pPr>
              <w:jc w:val="right"/>
              <w:rPr>
                <w:rFonts w:cstheme="minorHAnsi"/>
                <w:color w:val="000000"/>
                <w:sz w:val="18"/>
                <w:szCs w:val="18"/>
              </w:rPr>
            </w:pPr>
            <w:r w:rsidRPr="00761055">
              <w:rPr>
                <w:rFonts w:cstheme="minorHAnsi"/>
                <w:color w:val="000000"/>
                <w:sz w:val="18"/>
                <w:szCs w:val="18"/>
              </w:rPr>
              <w:t>117,0%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09" w14:textId="77777777" w:rsidR="00573680" w:rsidRPr="00761055" w:rsidRDefault="00573680">
            <w:pPr>
              <w:jc w:val="right"/>
              <w:rPr>
                <w:rFonts w:cstheme="minorHAnsi"/>
                <w:color w:val="000000"/>
                <w:sz w:val="18"/>
                <w:szCs w:val="18"/>
              </w:rPr>
            </w:pPr>
            <w:r w:rsidRPr="00761055">
              <w:rPr>
                <w:rFonts w:cstheme="minorHAnsi"/>
                <w:color w:val="000000"/>
                <w:sz w:val="18"/>
                <w:szCs w:val="18"/>
              </w:rPr>
              <w:t>120,0%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0A" w14:textId="77777777" w:rsidR="00573680" w:rsidRPr="00761055" w:rsidRDefault="00573680">
            <w:pPr>
              <w:jc w:val="right"/>
              <w:rPr>
                <w:rFonts w:cstheme="minorHAnsi"/>
                <w:color w:val="000000"/>
                <w:sz w:val="18"/>
                <w:szCs w:val="18"/>
              </w:rPr>
            </w:pPr>
            <w:r w:rsidRPr="00761055">
              <w:rPr>
                <w:rFonts w:cstheme="minorHAnsi"/>
                <w:color w:val="000000"/>
                <w:sz w:val="18"/>
                <w:szCs w:val="18"/>
              </w:rPr>
              <w:t>118,0%</w:t>
            </w:r>
          </w:p>
        </w:tc>
      </w:tr>
      <w:tr w:rsidR="007A2E50" w:rsidRPr="00761055" w14:paraId="569F201F" w14:textId="77777777" w:rsidTr="002F33BC">
        <w:trPr>
          <w:trHeight w:val="402"/>
        </w:trPr>
        <w:tc>
          <w:tcPr>
            <w:tcW w:w="2024" w:type="dxa"/>
            <w:tcBorders>
              <w:top w:val="nil"/>
              <w:left w:val="nil"/>
              <w:bottom w:val="nil"/>
              <w:right w:val="nil"/>
            </w:tcBorders>
            <w:shd w:val="clear" w:color="auto" w:fill="auto"/>
            <w:noWrap/>
            <w:vAlign w:val="bottom"/>
            <w:hideMark/>
          </w:tcPr>
          <w:p w14:paraId="569F200C"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Leiden</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0D" w14:textId="77777777" w:rsidR="00573680" w:rsidRPr="00761055" w:rsidRDefault="00573680">
            <w:pPr>
              <w:jc w:val="right"/>
              <w:rPr>
                <w:rFonts w:cstheme="minorHAnsi"/>
                <w:color w:val="000000"/>
                <w:sz w:val="18"/>
                <w:szCs w:val="18"/>
              </w:rPr>
            </w:pPr>
            <w:r w:rsidRPr="00761055">
              <w:rPr>
                <w:rFonts w:cstheme="minorHAnsi"/>
                <w:color w:val="000000"/>
                <w:sz w:val="18"/>
                <w:szCs w:val="18"/>
              </w:rPr>
              <w:t>39,6%</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0E" w14:textId="77777777" w:rsidR="00573680" w:rsidRPr="00761055" w:rsidRDefault="00573680">
            <w:pPr>
              <w:jc w:val="right"/>
              <w:rPr>
                <w:rFonts w:cstheme="minorHAnsi"/>
                <w:color w:val="000000"/>
                <w:sz w:val="18"/>
                <w:szCs w:val="18"/>
              </w:rPr>
            </w:pPr>
            <w:r w:rsidRPr="00761055">
              <w:rPr>
                <w:rFonts w:cstheme="minorHAnsi"/>
                <w:color w:val="000000"/>
                <w:sz w:val="18"/>
                <w:szCs w:val="18"/>
              </w:rPr>
              <w:t>40,7%</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0F" w14:textId="77777777" w:rsidR="00573680" w:rsidRPr="00761055" w:rsidRDefault="00573680">
            <w:pPr>
              <w:jc w:val="right"/>
              <w:rPr>
                <w:rFonts w:cstheme="minorHAnsi"/>
                <w:color w:val="000000"/>
                <w:sz w:val="18"/>
                <w:szCs w:val="18"/>
              </w:rPr>
            </w:pPr>
            <w:r w:rsidRPr="00761055">
              <w:rPr>
                <w:rFonts w:cstheme="minorHAnsi"/>
                <w:color w:val="000000"/>
                <w:sz w:val="18"/>
                <w:szCs w:val="18"/>
              </w:rPr>
              <w:t>48,1%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10" w14:textId="77777777" w:rsidR="00573680" w:rsidRPr="00761055" w:rsidRDefault="00573680">
            <w:pPr>
              <w:jc w:val="right"/>
              <w:rPr>
                <w:rFonts w:cstheme="minorHAnsi"/>
                <w:color w:val="000000"/>
                <w:sz w:val="18"/>
                <w:szCs w:val="18"/>
              </w:rPr>
            </w:pPr>
            <w:r w:rsidRPr="00761055">
              <w:rPr>
                <w:rFonts w:cstheme="minorHAnsi"/>
                <w:color w:val="000000"/>
                <w:sz w:val="18"/>
                <w:szCs w:val="18"/>
              </w:rPr>
              <w:t>37,4%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11" w14:textId="77777777" w:rsidR="00573680" w:rsidRPr="00761055" w:rsidRDefault="00573680">
            <w:pPr>
              <w:jc w:val="right"/>
              <w:rPr>
                <w:rFonts w:cstheme="minorHAnsi"/>
                <w:color w:val="000000"/>
                <w:sz w:val="18"/>
                <w:szCs w:val="18"/>
              </w:rPr>
            </w:pPr>
            <w:r w:rsidRPr="00761055">
              <w:rPr>
                <w:rFonts w:cstheme="minorHAnsi"/>
                <w:color w:val="000000"/>
                <w:sz w:val="18"/>
                <w:szCs w:val="18"/>
              </w:rPr>
              <w:t>38,7%</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12" w14:textId="77777777" w:rsidR="00573680" w:rsidRPr="00761055" w:rsidRDefault="00573680">
            <w:pPr>
              <w:jc w:val="right"/>
              <w:rPr>
                <w:rFonts w:cstheme="minorHAnsi"/>
                <w:color w:val="000000"/>
                <w:sz w:val="18"/>
                <w:szCs w:val="18"/>
              </w:rPr>
            </w:pPr>
            <w:r w:rsidRPr="00761055">
              <w:rPr>
                <w:rFonts w:cstheme="minorHAnsi"/>
                <w:color w:val="000000"/>
                <w:sz w:val="18"/>
                <w:szCs w:val="18"/>
              </w:rPr>
              <w:t>46,0%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13" w14:textId="77777777" w:rsidR="00573680" w:rsidRPr="00761055" w:rsidRDefault="00573680">
            <w:pPr>
              <w:jc w:val="right"/>
              <w:rPr>
                <w:rFonts w:cstheme="minorHAnsi"/>
                <w:color w:val="000000"/>
                <w:sz w:val="18"/>
                <w:szCs w:val="18"/>
              </w:rPr>
            </w:pPr>
            <w:r w:rsidRPr="00761055">
              <w:rPr>
                <w:rFonts w:cstheme="minorHAnsi"/>
                <w:color w:val="000000"/>
                <w:sz w:val="18"/>
                <w:szCs w:val="18"/>
              </w:rPr>
              <w:t>54,5%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14" w14:textId="77777777" w:rsidR="00573680" w:rsidRPr="00761055" w:rsidRDefault="00573680">
            <w:pPr>
              <w:jc w:val="right"/>
              <w:rPr>
                <w:rFonts w:cstheme="minorHAnsi"/>
                <w:color w:val="000000"/>
                <w:sz w:val="18"/>
                <w:szCs w:val="18"/>
              </w:rPr>
            </w:pPr>
            <w:r w:rsidRPr="00761055">
              <w:rPr>
                <w:rFonts w:cstheme="minorHAnsi"/>
                <w:color w:val="000000"/>
                <w:sz w:val="18"/>
                <w:szCs w:val="18"/>
              </w:rPr>
              <w:t>48,4%</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15" w14:textId="77777777" w:rsidR="00573680" w:rsidRPr="00761055" w:rsidRDefault="00573680">
            <w:pPr>
              <w:jc w:val="right"/>
              <w:rPr>
                <w:rFonts w:cstheme="minorHAnsi"/>
                <w:color w:val="000000"/>
                <w:sz w:val="18"/>
                <w:szCs w:val="18"/>
              </w:rPr>
            </w:pPr>
            <w:r w:rsidRPr="00761055">
              <w:rPr>
                <w:rFonts w:cstheme="minorHAnsi"/>
                <w:color w:val="000000"/>
                <w:sz w:val="18"/>
                <w:szCs w:val="18"/>
              </w:rPr>
              <w:t>45,9%</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16" w14:textId="77777777" w:rsidR="00573680" w:rsidRPr="00761055" w:rsidRDefault="00573680">
            <w:pPr>
              <w:jc w:val="right"/>
              <w:rPr>
                <w:rFonts w:cstheme="minorHAnsi"/>
                <w:color w:val="000000"/>
                <w:sz w:val="18"/>
                <w:szCs w:val="18"/>
              </w:rPr>
            </w:pPr>
            <w:r w:rsidRPr="00761055">
              <w:rPr>
                <w:rFonts w:cstheme="minorHAnsi"/>
                <w:color w:val="000000"/>
                <w:sz w:val="18"/>
                <w:szCs w:val="18"/>
              </w:rPr>
              <w:t>6,1%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17" w14:textId="77777777" w:rsidR="00573680" w:rsidRPr="00761055" w:rsidRDefault="00573680">
            <w:pPr>
              <w:jc w:val="right"/>
              <w:rPr>
                <w:rFonts w:cstheme="minorHAnsi"/>
                <w:color w:val="000000"/>
                <w:sz w:val="18"/>
                <w:szCs w:val="18"/>
              </w:rPr>
            </w:pPr>
            <w:r w:rsidRPr="00761055">
              <w:rPr>
                <w:rFonts w:cstheme="minorHAnsi"/>
                <w:color w:val="000000"/>
                <w:sz w:val="18"/>
                <w:szCs w:val="18"/>
              </w:rPr>
              <w:t>4,6%</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18"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19" w14:textId="77777777" w:rsidR="00573680" w:rsidRPr="00761055" w:rsidRDefault="00573680">
            <w:pPr>
              <w:jc w:val="right"/>
              <w:rPr>
                <w:rFonts w:cstheme="minorHAnsi"/>
                <w:color w:val="000000"/>
                <w:sz w:val="18"/>
                <w:szCs w:val="18"/>
              </w:rPr>
            </w:pPr>
            <w:r w:rsidRPr="00761055">
              <w:rPr>
                <w:rFonts w:cstheme="minorHAnsi"/>
                <w:color w:val="000000"/>
                <w:sz w:val="18"/>
                <w:szCs w:val="18"/>
              </w:rPr>
              <w:t>1,2%</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1A" w14:textId="77777777" w:rsidR="00573680" w:rsidRPr="00761055" w:rsidRDefault="00573680">
            <w:pPr>
              <w:jc w:val="right"/>
              <w:rPr>
                <w:rFonts w:cstheme="minorHAnsi"/>
                <w:color w:val="000000"/>
                <w:sz w:val="18"/>
                <w:szCs w:val="18"/>
              </w:rPr>
            </w:pPr>
            <w:r w:rsidRPr="00761055">
              <w:rPr>
                <w:rFonts w:cstheme="minorHAnsi"/>
                <w:color w:val="000000"/>
                <w:sz w:val="18"/>
                <w:szCs w:val="18"/>
              </w:rPr>
              <w:t>1,1%</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1B" w14:textId="77777777" w:rsidR="00573680" w:rsidRPr="00761055" w:rsidRDefault="00573680">
            <w:pPr>
              <w:jc w:val="right"/>
              <w:rPr>
                <w:rFonts w:cstheme="minorHAnsi"/>
                <w:color w:val="000000"/>
                <w:sz w:val="18"/>
                <w:szCs w:val="18"/>
              </w:rPr>
            </w:pPr>
            <w:r w:rsidRPr="00761055">
              <w:rPr>
                <w:rFonts w:cstheme="minorHAnsi"/>
                <w:color w:val="000000"/>
                <w:sz w:val="18"/>
                <w:szCs w:val="18"/>
              </w:rPr>
              <w:t>1,1%</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1C" w14:textId="77777777" w:rsidR="00573680" w:rsidRPr="00761055" w:rsidRDefault="00573680">
            <w:pPr>
              <w:jc w:val="right"/>
              <w:rPr>
                <w:rFonts w:cstheme="minorHAnsi"/>
                <w:color w:val="000000"/>
                <w:sz w:val="18"/>
                <w:szCs w:val="18"/>
              </w:rPr>
            </w:pPr>
            <w:r w:rsidRPr="00761055">
              <w:rPr>
                <w:rFonts w:cstheme="minorHAnsi"/>
                <w:color w:val="000000"/>
                <w:sz w:val="18"/>
                <w:szCs w:val="18"/>
              </w:rPr>
              <w:t>104,0%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1D" w14:textId="77777777" w:rsidR="00573680" w:rsidRPr="00761055" w:rsidRDefault="00573680">
            <w:pPr>
              <w:jc w:val="right"/>
              <w:rPr>
                <w:rFonts w:cstheme="minorHAnsi"/>
                <w:color w:val="000000"/>
                <w:sz w:val="18"/>
                <w:szCs w:val="18"/>
              </w:rPr>
            </w:pPr>
            <w:r w:rsidRPr="00761055">
              <w:rPr>
                <w:rFonts w:cstheme="minorHAnsi"/>
                <w:color w:val="000000"/>
                <w:sz w:val="18"/>
                <w:szCs w:val="18"/>
              </w:rPr>
              <w:t>102,5%</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1E" w14:textId="77777777" w:rsidR="00573680" w:rsidRPr="00761055" w:rsidRDefault="00573680">
            <w:pPr>
              <w:jc w:val="right"/>
              <w:rPr>
                <w:rFonts w:cstheme="minorHAnsi"/>
                <w:color w:val="000000"/>
                <w:sz w:val="18"/>
                <w:szCs w:val="18"/>
              </w:rPr>
            </w:pPr>
            <w:r w:rsidRPr="00761055">
              <w:rPr>
                <w:rFonts w:cstheme="minorHAnsi"/>
                <w:color w:val="000000"/>
                <w:sz w:val="18"/>
                <w:szCs w:val="18"/>
              </w:rPr>
              <w:t>100,5%</w:t>
            </w:r>
          </w:p>
        </w:tc>
      </w:tr>
      <w:tr w:rsidR="007A2E50" w:rsidRPr="00761055" w14:paraId="569F2033" w14:textId="77777777" w:rsidTr="002F33BC">
        <w:trPr>
          <w:trHeight w:val="402"/>
        </w:trPr>
        <w:tc>
          <w:tcPr>
            <w:tcW w:w="2024" w:type="dxa"/>
            <w:tcBorders>
              <w:top w:val="nil"/>
              <w:left w:val="nil"/>
              <w:bottom w:val="nil"/>
              <w:right w:val="nil"/>
            </w:tcBorders>
            <w:shd w:val="clear" w:color="auto" w:fill="auto"/>
            <w:noWrap/>
            <w:vAlign w:val="bottom"/>
            <w:hideMark/>
          </w:tcPr>
          <w:p w14:paraId="569F2020"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Leiderdorp</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1" w14:textId="77777777" w:rsidR="00573680" w:rsidRPr="00761055" w:rsidRDefault="00573680">
            <w:pPr>
              <w:jc w:val="right"/>
              <w:rPr>
                <w:rFonts w:cstheme="minorHAnsi"/>
                <w:color w:val="000000"/>
                <w:sz w:val="18"/>
                <w:szCs w:val="18"/>
              </w:rPr>
            </w:pPr>
            <w:r w:rsidRPr="00761055">
              <w:rPr>
                <w:rFonts w:cstheme="minorHAnsi"/>
                <w:color w:val="000000"/>
                <w:sz w:val="18"/>
                <w:szCs w:val="18"/>
              </w:rPr>
              <w:t>74,3%</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2" w14:textId="77777777" w:rsidR="00573680" w:rsidRPr="00761055" w:rsidRDefault="00573680">
            <w:pPr>
              <w:jc w:val="right"/>
              <w:rPr>
                <w:rFonts w:cstheme="minorHAnsi"/>
                <w:color w:val="000000"/>
                <w:sz w:val="18"/>
                <w:szCs w:val="18"/>
              </w:rPr>
            </w:pPr>
            <w:r w:rsidRPr="00761055">
              <w:rPr>
                <w:rFonts w:cstheme="minorHAnsi"/>
                <w:color w:val="000000"/>
                <w:sz w:val="18"/>
                <w:szCs w:val="18"/>
              </w:rPr>
              <w:t>66,5%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3" w14:textId="77777777" w:rsidR="00573680" w:rsidRPr="00761055" w:rsidRDefault="00573680">
            <w:pPr>
              <w:jc w:val="right"/>
              <w:rPr>
                <w:rFonts w:cstheme="minorHAnsi"/>
                <w:color w:val="000000"/>
                <w:sz w:val="18"/>
                <w:szCs w:val="18"/>
              </w:rPr>
            </w:pPr>
            <w:r w:rsidRPr="00761055">
              <w:rPr>
                <w:rFonts w:cstheme="minorHAnsi"/>
                <w:color w:val="000000"/>
                <w:sz w:val="18"/>
                <w:szCs w:val="18"/>
              </w:rPr>
              <w:t>65,5%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4" w14:textId="77777777" w:rsidR="00573680" w:rsidRPr="00761055" w:rsidRDefault="00573680">
            <w:pPr>
              <w:jc w:val="right"/>
              <w:rPr>
                <w:rFonts w:cstheme="minorHAnsi"/>
                <w:color w:val="000000"/>
                <w:sz w:val="18"/>
                <w:szCs w:val="18"/>
              </w:rPr>
            </w:pPr>
            <w:r w:rsidRPr="00761055">
              <w:rPr>
                <w:rFonts w:cstheme="minorHAnsi"/>
                <w:color w:val="000000"/>
                <w:sz w:val="18"/>
                <w:szCs w:val="18"/>
              </w:rPr>
              <w:t>58,9%</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5" w14:textId="77777777" w:rsidR="00573680" w:rsidRPr="00761055" w:rsidRDefault="00573680">
            <w:pPr>
              <w:jc w:val="right"/>
              <w:rPr>
                <w:rFonts w:cstheme="minorHAnsi"/>
                <w:color w:val="000000"/>
                <w:sz w:val="18"/>
                <w:szCs w:val="18"/>
              </w:rPr>
            </w:pPr>
            <w:r w:rsidRPr="00761055">
              <w:rPr>
                <w:rFonts w:cstheme="minorHAnsi"/>
                <w:color w:val="000000"/>
                <w:sz w:val="18"/>
                <w:szCs w:val="18"/>
              </w:rPr>
              <w:t>66,5%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6" w14:textId="77777777" w:rsidR="00573680" w:rsidRPr="00761055" w:rsidRDefault="00573680">
            <w:pPr>
              <w:jc w:val="right"/>
              <w:rPr>
                <w:rFonts w:cstheme="minorHAnsi"/>
                <w:color w:val="000000"/>
                <w:sz w:val="18"/>
                <w:szCs w:val="18"/>
              </w:rPr>
            </w:pPr>
            <w:r w:rsidRPr="00761055">
              <w:rPr>
                <w:rFonts w:cstheme="minorHAnsi"/>
                <w:color w:val="000000"/>
                <w:sz w:val="18"/>
                <w:szCs w:val="18"/>
              </w:rPr>
              <w:t>65,5%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27" w14:textId="77777777" w:rsidR="00573680" w:rsidRPr="00761055" w:rsidRDefault="00573680">
            <w:pPr>
              <w:jc w:val="right"/>
              <w:rPr>
                <w:rFonts w:cstheme="minorHAnsi"/>
                <w:color w:val="000000"/>
                <w:sz w:val="18"/>
                <w:szCs w:val="18"/>
              </w:rPr>
            </w:pPr>
            <w:r w:rsidRPr="00761055">
              <w:rPr>
                <w:rFonts w:cstheme="minorHAnsi"/>
                <w:color w:val="000000"/>
                <w:sz w:val="18"/>
                <w:szCs w:val="18"/>
              </w:rPr>
              <w:t>38,8%</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28" w14:textId="77777777" w:rsidR="00573680" w:rsidRPr="00761055" w:rsidRDefault="00573680">
            <w:pPr>
              <w:jc w:val="right"/>
              <w:rPr>
                <w:rFonts w:cstheme="minorHAnsi"/>
                <w:color w:val="000000"/>
                <w:sz w:val="18"/>
                <w:szCs w:val="18"/>
              </w:rPr>
            </w:pPr>
            <w:r w:rsidRPr="00761055">
              <w:rPr>
                <w:rFonts w:cstheme="minorHAnsi"/>
                <w:color w:val="000000"/>
                <w:sz w:val="18"/>
                <w:szCs w:val="18"/>
              </w:rPr>
              <w:t>32,5%</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29" w14:textId="77777777" w:rsidR="00573680" w:rsidRPr="00761055" w:rsidRDefault="00573680">
            <w:pPr>
              <w:jc w:val="right"/>
              <w:rPr>
                <w:rFonts w:cstheme="minorHAnsi"/>
                <w:color w:val="000000"/>
                <w:sz w:val="18"/>
                <w:szCs w:val="18"/>
              </w:rPr>
            </w:pPr>
            <w:r w:rsidRPr="00761055">
              <w:rPr>
                <w:rFonts w:cstheme="minorHAnsi"/>
                <w:color w:val="000000"/>
                <w:sz w:val="18"/>
                <w:szCs w:val="18"/>
              </w:rPr>
              <w:t>31,7%</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A" w14:textId="77777777" w:rsidR="00573680" w:rsidRPr="00761055" w:rsidRDefault="00573680">
            <w:pPr>
              <w:jc w:val="right"/>
              <w:rPr>
                <w:rFonts w:cstheme="minorHAnsi"/>
                <w:color w:val="000000"/>
                <w:sz w:val="18"/>
                <w:szCs w:val="18"/>
              </w:rPr>
            </w:pPr>
            <w:r w:rsidRPr="00761055">
              <w:rPr>
                <w:rFonts w:cstheme="minorHAnsi"/>
                <w:color w:val="000000"/>
                <w:sz w:val="18"/>
                <w:szCs w:val="18"/>
              </w:rPr>
              <w:t>6,9%</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B" w14:textId="77777777" w:rsidR="00573680" w:rsidRPr="00761055" w:rsidRDefault="00573680">
            <w:pPr>
              <w:jc w:val="right"/>
              <w:rPr>
                <w:rFonts w:cstheme="minorHAnsi"/>
                <w:color w:val="000000"/>
                <w:sz w:val="18"/>
                <w:szCs w:val="18"/>
              </w:rPr>
            </w:pPr>
            <w:r w:rsidRPr="00761055">
              <w:rPr>
                <w:rFonts w:cstheme="minorHAnsi"/>
                <w:color w:val="000000"/>
                <w:sz w:val="18"/>
                <w:szCs w:val="18"/>
              </w:rPr>
              <w:t>5,9%</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C" w14:textId="77777777" w:rsidR="00573680" w:rsidRPr="00761055" w:rsidRDefault="00573680">
            <w:pPr>
              <w:jc w:val="right"/>
              <w:rPr>
                <w:rFonts w:cstheme="minorHAnsi"/>
                <w:color w:val="000000"/>
                <w:sz w:val="18"/>
                <w:szCs w:val="18"/>
              </w:rPr>
            </w:pPr>
            <w:r w:rsidRPr="00761055">
              <w:rPr>
                <w:rFonts w:cstheme="minorHAnsi"/>
                <w:color w:val="000000"/>
                <w:sz w:val="18"/>
                <w:szCs w:val="18"/>
              </w:rPr>
              <w:t>5,7%</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D" w14:textId="77777777" w:rsidR="00573680" w:rsidRPr="00761055" w:rsidRDefault="00573680">
            <w:pPr>
              <w:jc w:val="right"/>
              <w:rPr>
                <w:rFonts w:cstheme="minorHAnsi"/>
                <w:color w:val="000000"/>
                <w:sz w:val="18"/>
                <w:szCs w:val="18"/>
              </w:rPr>
            </w:pPr>
            <w:r w:rsidRPr="00761055">
              <w:rPr>
                <w:rFonts w:cstheme="minorHAnsi"/>
                <w:color w:val="000000"/>
                <w:sz w:val="18"/>
                <w:szCs w:val="18"/>
              </w:rPr>
              <w:t>7,3%</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E" w14:textId="77777777" w:rsidR="00573680" w:rsidRPr="00761055" w:rsidRDefault="00573680">
            <w:pPr>
              <w:jc w:val="right"/>
              <w:rPr>
                <w:rFonts w:cstheme="minorHAnsi"/>
                <w:color w:val="000000"/>
                <w:sz w:val="18"/>
                <w:szCs w:val="18"/>
              </w:rPr>
            </w:pPr>
            <w:r w:rsidRPr="00761055">
              <w:rPr>
                <w:rFonts w:cstheme="minorHAnsi"/>
                <w:color w:val="000000"/>
                <w:sz w:val="18"/>
                <w:szCs w:val="18"/>
              </w:rPr>
              <w:t>1,3%</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2F" w14:textId="77777777" w:rsidR="00573680" w:rsidRPr="00761055" w:rsidRDefault="00573680">
            <w:pPr>
              <w:jc w:val="right"/>
              <w:rPr>
                <w:rFonts w:cstheme="minorHAnsi"/>
                <w:color w:val="000000"/>
                <w:sz w:val="18"/>
                <w:szCs w:val="18"/>
              </w:rPr>
            </w:pPr>
            <w:r w:rsidRPr="00761055">
              <w:rPr>
                <w:rFonts w:cstheme="minorHAnsi"/>
                <w:color w:val="000000"/>
                <w:sz w:val="18"/>
                <w:szCs w:val="18"/>
              </w:rPr>
              <w:t>4,9%</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30" w14:textId="77777777" w:rsidR="00573680" w:rsidRPr="00761055" w:rsidRDefault="00573680">
            <w:pPr>
              <w:jc w:val="right"/>
              <w:rPr>
                <w:rFonts w:cstheme="minorHAnsi"/>
                <w:color w:val="000000"/>
                <w:sz w:val="18"/>
                <w:szCs w:val="18"/>
              </w:rPr>
            </w:pPr>
            <w:r w:rsidRPr="00761055">
              <w:rPr>
                <w:rFonts w:cstheme="minorHAnsi"/>
                <w:color w:val="000000"/>
                <w:sz w:val="18"/>
                <w:szCs w:val="18"/>
              </w:rPr>
              <w:t>115,1%</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31" w14:textId="77777777" w:rsidR="00573680" w:rsidRPr="00761055" w:rsidRDefault="00573680">
            <w:pPr>
              <w:jc w:val="right"/>
              <w:rPr>
                <w:rFonts w:cstheme="minorHAnsi"/>
                <w:color w:val="000000"/>
                <w:sz w:val="18"/>
                <w:szCs w:val="18"/>
              </w:rPr>
            </w:pPr>
            <w:r w:rsidRPr="00761055">
              <w:rPr>
                <w:rFonts w:cstheme="minorHAnsi"/>
                <w:color w:val="000000"/>
                <w:sz w:val="18"/>
                <w:szCs w:val="18"/>
              </w:rPr>
              <w:t>114,2%</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32" w14:textId="77777777" w:rsidR="00573680" w:rsidRPr="00761055" w:rsidRDefault="00573680">
            <w:pPr>
              <w:jc w:val="right"/>
              <w:rPr>
                <w:rFonts w:cstheme="minorHAnsi"/>
                <w:color w:val="000000"/>
                <w:sz w:val="18"/>
                <w:szCs w:val="18"/>
              </w:rPr>
            </w:pPr>
            <w:r w:rsidRPr="00761055">
              <w:rPr>
                <w:rFonts w:cstheme="minorHAnsi"/>
                <w:color w:val="000000"/>
                <w:sz w:val="18"/>
                <w:szCs w:val="18"/>
              </w:rPr>
              <w:t>114,8%</w:t>
            </w:r>
          </w:p>
        </w:tc>
      </w:tr>
      <w:tr w:rsidR="007A2E50" w:rsidRPr="00761055" w14:paraId="569F2047" w14:textId="77777777" w:rsidTr="002F33BC">
        <w:trPr>
          <w:trHeight w:val="402"/>
        </w:trPr>
        <w:tc>
          <w:tcPr>
            <w:tcW w:w="2024" w:type="dxa"/>
            <w:tcBorders>
              <w:top w:val="nil"/>
              <w:left w:val="nil"/>
              <w:bottom w:val="nil"/>
              <w:right w:val="nil"/>
            </w:tcBorders>
            <w:shd w:val="clear" w:color="auto" w:fill="auto"/>
            <w:noWrap/>
            <w:vAlign w:val="bottom"/>
            <w:hideMark/>
          </w:tcPr>
          <w:p w14:paraId="569F2034"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Leidschendam-Voorburg</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35" w14:textId="77777777" w:rsidR="00573680" w:rsidRPr="00761055" w:rsidRDefault="00573680">
            <w:pPr>
              <w:jc w:val="right"/>
              <w:rPr>
                <w:rFonts w:cstheme="minorHAnsi"/>
                <w:color w:val="000000"/>
                <w:sz w:val="18"/>
                <w:szCs w:val="18"/>
              </w:rPr>
            </w:pPr>
            <w:r w:rsidRPr="00761055">
              <w:rPr>
                <w:rFonts w:cstheme="minorHAnsi"/>
                <w:color w:val="000000"/>
                <w:sz w:val="18"/>
                <w:szCs w:val="18"/>
              </w:rPr>
              <w:t>74,0%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36" w14:textId="77777777" w:rsidR="00573680" w:rsidRPr="00761055" w:rsidRDefault="00573680">
            <w:pPr>
              <w:jc w:val="right"/>
              <w:rPr>
                <w:rFonts w:cstheme="minorHAnsi"/>
                <w:color w:val="000000"/>
                <w:sz w:val="18"/>
                <w:szCs w:val="18"/>
              </w:rPr>
            </w:pPr>
            <w:r w:rsidRPr="00761055">
              <w:rPr>
                <w:rFonts w:cstheme="minorHAnsi"/>
                <w:color w:val="000000"/>
                <w:sz w:val="18"/>
                <w:szCs w:val="18"/>
              </w:rPr>
              <w:t>81,0%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37" w14:textId="77777777" w:rsidR="00573680" w:rsidRPr="00761055" w:rsidRDefault="00573680">
            <w:pPr>
              <w:jc w:val="right"/>
              <w:rPr>
                <w:rFonts w:cstheme="minorHAnsi"/>
                <w:color w:val="000000"/>
                <w:sz w:val="18"/>
                <w:szCs w:val="18"/>
              </w:rPr>
            </w:pPr>
            <w:r w:rsidRPr="00761055">
              <w:rPr>
                <w:rFonts w:cstheme="minorHAnsi"/>
                <w:color w:val="000000"/>
                <w:sz w:val="18"/>
                <w:szCs w:val="18"/>
              </w:rPr>
              <w:t>74,0%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38" w14:textId="77777777" w:rsidR="00573680" w:rsidRPr="00761055" w:rsidRDefault="00573680">
            <w:pPr>
              <w:jc w:val="right"/>
              <w:rPr>
                <w:rFonts w:cstheme="minorHAnsi"/>
                <w:color w:val="000000"/>
                <w:sz w:val="18"/>
                <w:szCs w:val="18"/>
              </w:rPr>
            </w:pPr>
            <w:r w:rsidRPr="00761055">
              <w:rPr>
                <w:rFonts w:cstheme="minorHAnsi"/>
                <w:color w:val="000000"/>
                <w:sz w:val="18"/>
                <w:szCs w:val="18"/>
              </w:rPr>
              <w:t>70,0%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39" w14:textId="77777777" w:rsidR="00573680" w:rsidRPr="00761055" w:rsidRDefault="00573680">
            <w:pPr>
              <w:jc w:val="right"/>
              <w:rPr>
                <w:rFonts w:cstheme="minorHAnsi"/>
                <w:color w:val="000000"/>
                <w:sz w:val="18"/>
                <w:szCs w:val="18"/>
              </w:rPr>
            </w:pPr>
            <w:r w:rsidRPr="00761055">
              <w:rPr>
                <w:rFonts w:cstheme="minorHAnsi"/>
                <w:color w:val="000000"/>
                <w:sz w:val="18"/>
                <w:szCs w:val="18"/>
              </w:rPr>
              <w:t>76,0%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3A" w14:textId="77777777" w:rsidR="00573680" w:rsidRPr="00761055" w:rsidRDefault="00573680">
            <w:pPr>
              <w:jc w:val="right"/>
              <w:rPr>
                <w:rFonts w:cstheme="minorHAnsi"/>
                <w:color w:val="000000"/>
                <w:sz w:val="18"/>
                <w:szCs w:val="18"/>
              </w:rPr>
            </w:pPr>
            <w:r w:rsidRPr="00761055">
              <w:rPr>
                <w:rFonts w:cstheme="minorHAnsi"/>
                <w:color w:val="000000"/>
                <w:sz w:val="18"/>
                <w:szCs w:val="18"/>
              </w:rPr>
              <w:t>69,0%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3B" w14:textId="77777777" w:rsidR="00573680" w:rsidRPr="00761055" w:rsidRDefault="00573680">
            <w:pPr>
              <w:jc w:val="right"/>
              <w:rPr>
                <w:rFonts w:cstheme="minorHAnsi"/>
                <w:color w:val="000000"/>
                <w:sz w:val="18"/>
                <w:szCs w:val="18"/>
              </w:rPr>
            </w:pPr>
            <w:r w:rsidRPr="00761055">
              <w:rPr>
                <w:rFonts w:cstheme="minorHAnsi"/>
                <w:color w:val="000000"/>
                <w:sz w:val="18"/>
                <w:szCs w:val="18"/>
              </w:rPr>
              <w:t>51,0%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3C" w14:textId="77777777" w:rsidR="00573680" w:rsidRPr="00761055" w:rsidRDefault="00573680">
            <w:pPr>
              <w:jc w:val="right"/>
              <w:rPr>
                <w:rFonts w:cstheme="minorHAnsi"/>
                <w:color w:val="000000"/>
                <w:sz w:val="18"/>
                <w:szCs w:val="18"/>
              </w:rPr>
            </w:pPr>
            <w:r w:rsidRPr="00761055">
              <w:rPr>
                <w:rFonts w:cstheme="minorHAnsi"/>
                <w:color w:val="000000"/>
                <w:sz w:val="18"/>
                <w:szCs w:val="18"/>
              </w:rPr>
              <w:t>55,0%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3D" w14:textId="77777777" w:rsidR="00573680" w:rsidRPr="00761055" w:rsidRDefault="00573680">
            <w:pPr>
              <w:jc w:val="right"/>
              <w:rPr>
                <w:rFonts w:cstheme="minorHAnsi"/>
                <w:color w:val="000000"/>
                <w:sz w:val="18"/>
                <w:szCs w:val="18"/>
              </w:rPr>
            </w:pPr>
            <w:r w:rsidRPr="00761055">
              <w:rPr>
                <w:rFonts w:cstheme="minorHAnsi"/>
                <w:color w:val="000000"/>
                <w:sz w:val="18"/>
                <w:szCs w:val="18"/>
              </w:rPr>
              <w:t>47,0%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3E" w14:textId="77777777" w:rsidR="00573680" w:rsidRPr="00761055" w:rsidRDefault="00573680">
            <w:pPr>
              <w:jc w:val="right"/>
              <w:rPr>
                <w:rFonts w:cstheme="minorHAnsi"/>
                <w:color w:val="000000"/>
                <w:sz w:val="18"/>
                <w:szCs w:val="18"/>
              </w:rPr>
            </w:pPr>
            <w:r w:rsidRPr="00761055">
              <w:rPr>
                <w:rFonts w:cstheme="minorHAnsi"/>
                <w:color w:val="000000"/>
                <w:sz w:val="18"/>
                <w:szCs w:val="18"/>
              </w:rPr>
              <w:t>9,3%</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3F" w14:textId="77777777" w:rsidR="00573680" w:rsidRPr="00761055" w:rsidRDefault="00573680">
            <w:pPr>
              <w:jc w:val="right"/>
              <w:rPr>
                <w:rFonts w:cstheme="minorHAnsi"/>
                <w:color w:val="000000"/>
                <w:sz w:val="18"/>
                <w:szCs w:val="18"/>
              </w:rPr>
            </w:pPr>
            <w:r w:rsidRPr="00761055">
              <w:rPr>
                <w:rFonts w:cstheme="minorHAnsi"/>
                <w:color w:val="000000"/>
                <w:sz w:val="18"/>
                <w:szCs w:val="18"/>
              </w:rPr>
              <w:t>9,4%</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40" w14:textId="77777777" w:rsidR="00573680" w:rsidRPr="00761055" w:rsidRDefault="00573680">
            <w:pPr>
              <w:jc w:val="right"/>
              <w:rPr>
                <w:rFonts w:cstheme="minorHAnsi"/>
                <w:color w:val="000000"/>
                <w:sz w:val="18"/>
                <w:szCs w:val="18"/>
              </w:rPr>
            </w:pPr>
            <w:r w:rsidRPr="00761055">
              <w:rPr>
                <w:rFonts w:cstheme="minorHAnsi"/>
                <w:color w:val="000000"/>
                <w:sz w:val="18"/>
                <w:szCs w:val="18"/>
              </w:rPr>
              <w:t>10,5%</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41" w14:textId="77777777" w:rsidR="00573680" w:rsidRPr="00761055" w:rsidRDefault="00573680">
            <w:pPr>
              <w:jc w:val="right"/>
              <w:rPr>
                <w:rFonts w:cstheme="minorHAnsi"/>
                <w:color w:val="000000"/>
                <w:sz w:val="18"/>
                <w:szCs w:val="18"/>
              </w:rPr>
            </w:pPr>
            <w:r w:rsidRPr="00761055">
              <w:rPr>
                <w:rFonts w:cstheme="minorHAnsi"/>
                <w:color w:val="000000"/>
                <w:sz w:val="18"/>
                <w:szCs w:val="18"/>
              </w:rPr>
              <w:t>5,3%</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42" w14:textId="77777777" w:rsidR="00573680" w:rsidRPr="00761055" w:rsidRDefault="00573680">
            <w:pPr>
              <w:jc w:val="right"/>
              <w:rPr>
                <w:rFonts w:cstheme="minorHAnsi"/>
                <w:color w:val="000000"/>
                <w:sz w:val="18"/>
                <w:szCs w:val="18"/>
              </w:rPr>
            </w:pPr>
            <w:r w:rsidRPr="00761055">
              <w:rPr>
                <w:rFonts w:cstheme="minorHAnsi"/>
                <w:color w:val="000000"/>
                <w:sz w:val="18"/>
                <w:szCs w:val="18"/>
              </w:rPr>
              <w:t>1,2%</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43" w14:textId="77777777" w:rsidR="00573680" w:rsidRPr="00761055" w:rsidRDefault="00573680">
            <w:pPr>
              <w:jc w:val="right"/>
              <w:rPr>
                <w:rFonts w:cstheme="minorHAnsi"/>
                <w:color w:val="000000"/>
                <w:sz w:val="18"/>
                <w:szCs w:val="18"/>
              </w:rPr>
            </w:pPr>
            <w:r w:rsidRPr="00761055">
              <w:rPr>
                <w:rFonts w:cstheme="minorHAnsi"/>
                <w:color w:val="000000"/>
                <w:sz w:val="18"/>
                <w:szCs w:val="18"/>
              </w:rPr>
              <w:t>0,5%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44" w14:textId="77777777" w:rsidR="00573680" w:rsidRPr="00761055" w:rsidRDefault="00573680">
            <w:pPr>
              <w:jc w:val="right"/>
              <w:rPr>
                <w:rFonts w:cstheme="minorHAnsi"/>
                <w:color w:val="000000"/>
                <w:sz w:val="18"/>
                <w:szCs w:val="18"/>
              </w:rPr>
            </w:pPr>
            <w:r w:rsidRPr="00761055">
              <w:rPr>
                <w:rFonts w:cstheme="minorHAnsi"/>
                <w:color w:val="000000"/>
                <w:sz w:val="18"/>
                <w:szCs w:val="18"/>
              </w:rPr>
              <w:t>95,4%</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45" w14:textId="77777777" w:rsidR="00573680" w:rsidRPr="00761055" w:rsidRDefault="00573680">
            <w:pPr>
              <w:jc w:val="right"/>
              <w:rPr>
                <w:rFonts w:cstheme="minorHAnsi"/>
                <w:color w:val="000000"/>
                <w:sz w:val="18"/>
                <w:szCs w:val="18"/>
              </w:rPr>
            </w:pPr>
            <w:r w:rsidRPr="00761055">
              <w:rPr>
                <w:rFonts w:cstheme="minorHAnsi"/>
                <w:color w:val="000000"/>
                <w:sz w:val="18"/>
                <w:szCs w:val="18"/>
              </w:rPr>
              <w:t>96,7%</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46" w14:textId="77777777" w:rsidR="00573680" w:rsidRPr="00761055" w:rsidRDefault="00573680">
            <w:pPr>
              <w:jc w:val="right"/>
              <w:rPr>
                <w:rFonts w:cstheme="minorHAnsi"/>
                <w:color w:val="000000"/>
                <w:sz w:val="18"/>
                <w:szCs w:val="18"/>
              </w:rPr>
            </w:pPr>
            <w:r w:rsidRPr="00761055">
              <w:rPr>
                <w:rFonts w:cstheme="minorHAnsi"/>
                <w:color w:val="000000"/>
                <w:sz w:val="18"/>
                <w:szCs w:val="18"/>
              </w:rPr>
              <w:t>97,2%</w:t>
            </w:r>
          </w:p>
        </w:tc>
      </w:tr>
      <w:tr w:rsidR="007A2E50" w:rsidRPr="00761055" w14:paraId="569F205B" w14:textId="77777777" w:rsidTr="002F33BC">
        <w:trPr>
          <w:trHeight w:val="402"/>
        </w:trPr>
        <w:tc>
          <w:tcPr>
            <w:tcW w:w="2024" w:type="dxa"/>
            <w:tcBorders>
              <w:top w:val="nil"/>
              <w:left w:val="nil"/>
              <w:bottom w:val="nil"/>
              <w:right w:val="nil"/>
            </w:tcBorders>
            <w:shd w:val="clear" w:color="auto" w:fill="auto"/>
            <w:noWrap/>
            <w:vAlign w:val="bottom"/>
            <w:hideMark/>
          </w:tcPr>
          <w:p w14:paraId="569F2048"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Lisse</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49" w14:textId="77777777" w:rsidR="00573680" w:rsidRPr="00761055" w:rsidRDefault="00573680">
            <w:pPr>
              <w:jc w:val="right"/>
              <w:rPr>
                <w:rFonts w:cstheme="minorHAnsi"/>
                <w:color w:val="000000"/>
                <w:sz w:val="18"/>
                <w:szCs w:val="18"/>
              </w:rPr>
            </w:pPr>
            <w:r w:rsidRPr="00761055">
              <w:rPr>
                <w:rFonts w:cstheme="minorHAnsi"/>
                <w:color w:val="000000"/>
                <w:sz w:val="18"/>
                <w:szCs w:val="18"/>
              </w:rPr>
              <w:t>8,8%</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4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4B" w14:textId="77777777" w:rsidR="00573680" w:rsidRPr="00761055" w:rsidRDefault="00573680">
            <w:pPr>
              <w:jc w:val="right"/>
              <w:rPr>
                <w:rFonts w:cstheme="minorHAnsi"/>
                <w:color w:val="000000"/>
                <w:sz w:val="18"/>
                <w:szCs w:val="18"/>
              </w:rPr>
            </w:pPr>
            <w:r w:rsidRPr="00761055">
              <w:rPr>
                <w:rFonts w:cstheme="minorHAnsi"/>
                <w:color w:val="000000"/>
                <w:sz w:val="18"/>
                <w:szCs w:val="18"/>
              </w:rPr>
              <w:t>8,8%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4C" w14:textId="77777777" w:rsidR="00573680" w:rsidRPr="00761055" w:rsidRDefault="00573680">
            <w:pPr>
              <w:jc w:val="right"/>
              <w:rPr>
                <w:rFonts w:cstheme="minorHAnsi"/>
                <w:color w:val="000000"/>
                <w:sz w:val="18"/>
                <w:szCs w:val="18"/>
              </w:rPr>
            </w:pPr>
            <w:r w:rsidRPr="00761055">
              <w:rPr>
                <w:rFonts w:cstheme="minorHAnsi"/>
                <w:color w:val="000000"/>
                <w:sz w:val="18"/>
                <w:szCs w:val="18"/>
              </w:rPr>
              <w:t>7,2%</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4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4E" w14:textId="77777777" w:rsidR="00573680" w:rsidRPr="00761055" w:rsidRDefault="00573680">
            <w:pPr>
              <w:jc w:val="right"/>
              <w:rPr>
                <w:rFonts w:cstheme="minorHAnsi"/>
                <w:color w:val="000000"/>
                <w:sz w:val="18"/>
                <w:szCs w:val="18"/>
              </w:rPr>
            </w:pPr>
            <w:r w:rsidRPr="00761055">
              <w:rPr>
                <w:rFonts w:cstheme="minorHAnsi"/>
                <w:color w:val="000000"/>
                <w:sz w:val="18"/>
                <w:szCs w:val="18"/>
              </w:rPr>
              <w:t>7,2%</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4F" w14:textId="77777777" w:rsidR="00573680" w:rsidRPr="00761055" w:rsidRDefault="00573680">
            <w:pPr>
              <w:jc w:val="right"/>
              <w:rPr>
                <w:rFonts w:cstheme="minorHAnsi"/>
                <w:color w:val="000000"/>
                <w:sz w:val="18"/>
                <w:szCs w:val="18"/>
              </w:rPr>
            </w:pPr>
            <w:r w:rsidRPr="00761055">
              <w:rPr>
                <w:rFonts w:cstheme="minorHAnsi"/>
                <w:color w:val="000000"/>
                <w:sz w:val="18"/>
                <w:szCs w:val="18"/>
              </w:rPr>
              <w:t>45,6%</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50"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51" w14:textId="77777777" w:rsidR="00573680" w:rsidRPr="00761055" w:rsidRDefault="00573680">
            <w:pPr>
              <w:jc w:val="right"/>
              <w:rPr>
                <w:rFonts w:cstheme="minorHAnsi"/>
                <w:color w:val="000000"/>
                <w:sz w:val="18"/>
                <w:szCs w:val="18"/>
              </w:rPr>
            </w:pPr>
            <w:r w:rsidRPr="00761055">
              <w:rPr>
                <w:rFonts w:cstheme="minorHAnsi"/>
                <w:color w:val="000000"/>
                <w:sz w:val="18"/>
                <w:szCs w:val="18"/>
              </w:rPr>
              <w:t>45,6%</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52" w14:textId="77777777" w:rsidR="00573680" w:rsidRPr="00761055" w:rsidRDefault="00573680">
            <w:pPr>
              <w:jc w:val="right"/>
              <w:rPr>
                <w:rFonts w:cstheme="minorHAnsi"/>
                <w:color w:val="000000"/>
                <w:sz w:val="18"/>
                <w:szCs w:val="18"/>
              </w:rPr>
            </w:pPr>
            <w:r w:rsidRPr="00761055">
              <w:rPr>
                <w:rFonts w:cstheme="minorHAnsi"/>
                <w:color w:val="000000"/>
                <w:sz w:val="18"/>
                <w:szCs w:val="18"/>
              </w:rPr>
              <w:t>23,5%</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53"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54" w14:textId="77777777" w:rsidR="00573680" w:rsidRPr="00761055" w:rsidRDefault="00573680">
            <w:pPr>
              <w:jc w:val="right"/>
              <w:rPr>
                <w:rFonts w:cstheme="minorHAnsi"/>
                <w:color w:val="000000"/>
                <w:sz w:val="18"/>
                <w:szCs w:val="18"/>
              </w:rPr>
            </w:pPr>
            <w:r w:rsidRPr="00761055">
              <w:rPr>
                <w:rFonts w:cstheme="minorHAnsi"/>
                <w:color w:val="000000"/>
                <w:sz w:val="18"/>
                <w:szCs w:val="18"/>
              </w:rPr>
              <w:t>23,5%</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55" w14:textId="77777777" w:rsidR="00573680" w:rsidRPr="00761055" w:rsidRDefault="00573680">
            <w:pPr>
              <w:jc w:val="right"/>
              <w:rPr>
                <w:rFonts w:cstheme="minorHAnsi"/>
                <w:color w:val="000000"/>
                <w:sz w:val="18"/>
                <w:szCs w:val="18"/>
              </w:rPr>
            </w:pPr>
            <w:r w:rsidRPr="00761055">
              <w:rPr>
                <w:rFonts w:cstheme="minorHAnsi"/>
                <w:color w:val="000000"/>
                <w:sz w:val="18"/>
                <w:szCs w:val="18"/>
              </w:rPr>
              <w:t>7,0%</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5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57" w14:textId="77777777" w:rsidR="00573680" w:rsidRPr="00761055" w:rsidRDefault="00573680">
            <w:pPr>
              <w:jc w:val="right"/>
              <w:rPr>
                <w:rFonts w:cstheme="minorHAnsi"/>
                <w:color w:val="000000"/>
                <w:sz w:val="18"/>
                <w:szCs w:val="18"/>
              </w:rPr>
            </w:pPr>
            <w:r w:rsidRPr="00761055">
              <w:rPr>
                <w:rFonts w:cstheme="minorHAnsi"/>
                <w:color w:val="000000"/>
                <w:sz w:val="18"/>
                <w:szCs w:val="18"/>
              </w:rPr>
              <w:t>7,0%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58" w14:textId="77777777" w:rsidR="00573680" w:rsidRPr="00761055" w:rsidRDefault="00573680">
            <w:pPr>
              <w:jc w:val="right"/>
              <w:rPr>
                <w:rFonts w:cstheme="minorHAnsi"/>
                <w:color w:val="000000"/>
                <w:sz w:val="18"/>
                <w:szCs w:val="18"/>
              </w:rPr>
            </w:pPr>
            <w:r w:rsidRPr="00761055">
              <w:rPr>
                <w:rFonts w:cstheme="minorHAnsi"/>
                <w:color w:val="000000"/>
                <w:sz w:val="18"/>
                <w:szCs w:val="18"/>
              </w:rPr>
              <w:t>7,4%</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59"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5A" w14:textId="77777777" w:rsidR="00573680" w:rsidRPr="00761055" w:rsidRDefault="00573680">
            <w:pPr>
              <w:jc w:val="right"/>
              <w:rPr>
                <w:rFonts w:cstheme="minorHAnsi"/>
                <w:color w:val="000000"/>
                <w:sz w:val="18"/>
                <w:szCs w:val="18"/>
              </w:rPr>
            </w:pPr>
            <w:r w:rsidRPr="00761055">
              <w:rPr>
                <w:rFonts w:cstheme="minorHAnsi"/>
                <w:color w:val="000000"/>
                <w:sz w:val="18"/>
                <w:szCs w:val="18"/>
              </w:rPr>
              <w:t>7,4%</w:t>
            </w:r>
          </w:p>
        </w:tc>
      </w:tr>
      <w:tr w:rsidR="007A2E50" w:rsidRPr="00761055" w14:paraId="569F206F" w14:textId="77777777" w:rsidTr="002F33BC">
        <w:trPr>
          <w:trHeight w:val="402"/>
        </w:trPr>
        <w:tc>
          <w:tcPr>
            <w:tcW w:w="2024" w:type="dxa"/>
            <w:tcBorders>
              <w:top w:val="nil"/>
              <w:left w:val="nil"/>
              <w:bottom w:val="nil"/>
              <w:right w:val="nil"/>
            </w:tcBorders>
            <w:shd w:val="clear" w:color="auto" w:fill="auto"/>
            <w:noWrap/>
            <w:vAlign w:val="bottom"/>
            <w:hideMark/>
          </w:tcPr>
          <w:p w14:paraId="569F205C"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Maassluis</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5D" w14:textId="77777777" w:rsidR="00573680" w:rsidRPr="00761055" w:rsidRDefault="00573680">
            <w:pPr>
              <w:jc w:val="right"/>
              <w:rPr>
                <w:rFonts w:cstheme="minorHAnsi"/>
                <w:color w:val="000000"/>
                <w:sz w:val="18"/>
                <w:szCs w:val="18"/>
              </w:rPr>
            </w:pPr>
            <w:r w:rsidRPr="00761055">
              <w:rPr>
                <w:rFonts w:cstheme="minorHAnsi"/>
                <w:color w:val="000000"/>
                <w:sz w:val="18"/>
                <w:szCs w:val="18"/>
              </w:rPr>
              <w:t>72,1%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5E" w14:textId="77777777" w:rsidR="00573680" w:rsidRPr="00761055" w:rsidRDefault="00573680">
            <w:pPr>
              <w:jc w:val="right"/>
              <w:rPr>
                <w:rFonts w:cstheme="minorHAnsi"/>
                <w:color w:val="000000"/>
                <w:sz w:val="18"/>
                <w:szCs w:val="18"/>
              </w:rPr>
            </w:pPr>
            <w:r w:rsidRPr="00761055">
              <w:rPr>
                <w:rFonts w:cstheme="minorHAnsi"/>
                <w:color w:val="000000"/>
                <w:sz w:val="18"/>
                <w:szCs w:val="18"/>
              </w:rPr>
              <w:t>66,8%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5F" w14:textId="77777777" w:rsidR="00573680" w:rsidRPr="00761055" w:rsidRDefault="00573680">
            <w:pPr>
              <w:jc w:val="right"/>
              <w:rPr>
                <w:rFonts w:cstheme="minorHAnsi"/>
                <w:color w:val="000000"/>
                <w:sz w:val="18"/>
                <w:szCs w:val="18"/>
              </w:rPr>
            </w:pPr>
            <w:r w:rsidRPr="00761055">
              <w:rPr>
                <w:rFonts w:cstheme="minorHAnsi"/>
                <w:color w:val="000000"/>
                <w:sz w:val="18"/>
                <w:szCs w:val="18"/>
              </w:rPr>
              <w:t>64,5%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60" w14:textId="77777777" w:rsidR="00573680" w:rsidRPr="00761055" w:rsidRDefault="00573680">
            <w:pPr>
              <w:jc w:val="right"/>
              <w:rPr>
                <w:rFonts w:cstheme="minorHAnsi"/>
                <w:color w:val="000000"/>
                <w:sz w:val="18"/>
                <w:szCs w:val="18"/>
              </w:rPr>
            </w:pPr>
            <w:r w:rsidRPr="00761055">
              <w:rPr>
                <w:rFonts w:cstheme="minorHAnsi"/>
                <w:color w:val="000000"/>
                <w:sz w:val="18"/>
                <w:szCs w:val="18"/>
              </w:rPr>
              <w:t>70,1%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61" w14:textId="77777777" w:rsidR="00573680" w:rsidRPr="00761055" w:rsidRDefault="00573680">
            <w:pPr>
              <w:jc w:val="right"/>
              <w:rPr>
                <w:rFonts w:cstheme="minorHAnsi"/>
                <w:color w:val="000000"/>
                <w:sz w:val="18"/>
                <w:szCs w:val="18"/>
              </w:rPr>
            </w:pPr>
            <w:r w:rsidRPr="00761055">
              <w:rPr>
                <w:rFonts w:cstheme="minorHAnsi"/>
                <w:color w:val="000000"/>
                <w:sz w:val="18"/>
                <w:szCs w:val="18"/>
              </w:rPr>
              <w:t>65,1%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62" w14:textId="77777777" w:rsidR="00573680" w:rsidRPr="00761055" w:rsidRDefault="00573680">
            <w:pPr>
              <w:jc w:val="right"/>
              <w:rPr>
                <w:rFonts w:cstheme="minorHAnsi"/>
                <w:color w:val="000000"/>
                <w:sz w:val="18"/>
                <w:szCs w:val="18"/>
              </w:rPr>
            </w:pPr>
            <w:r w:rsidRPr="00761055">
              <w:rPr>
                <w:rFonts w:cstheme="minorHAnsi"/>
                <w:color w:val="000000"/>
                <w:sz w:val="18"/>
                <w:szCs w:val="18"/>
              </w:rPr>
              <w:t>62,8%</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63" w14:textId="77777777" w:rsidR="00573680" w:rsidRPr="00761055" w:rsidRDefault="00573680">
            <w:pPr>
              <w:jc w:val="right"/>
              <w:rPr>
                <w:rFonts w:cstheme="minorHAnsi"/>
                <w:color w:val="000000"/>
                <w:sz w:val="18"/>
                <w:szCs w:val="18"/>
              </w:rPr>
            </w:pPr>
            <w:r w:rsidRPr="00761055">
              <w:rPr>
                <w:rFonts w:cstheme="minorHAnsi"/>
                <w:color w:val="000000"/>
                <w:sz w:val="18"/>
                <w:szCs w:val="18"/>
              </w:rPr>
              <w:t>31,8%</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64" w14:textId="77777777" w:rsidR="00573680" w:rsidRPr="00761055" w:rsidRDefault="00573680">
            <w:pPr>
              <w:jc w:val="right"/>
              <w:rPr>
                <w:rFonts w:cstheme="minorHAnsi"/>
                <w:color w:val="000000"/>
                <w:sz w:val="18"/>
                <w:szCs w:val="18"/>
              </w:rPr>
            </w:pPr>
            <w:r w:rsidRPr="00761055">
              <w:rPr>
                <w:rFonts w:cstheme="minorHAnsi"/>
                <w:color w:val="000000"/>
                <w:sz w:val="18"/>
                <w:szCs w:val="18"/>
              </w:rPr>
              <w:t>31,1%</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65" w14:textId="77777777" w:rsidR="00573680" w:rsidRPr="00761055" w:rsidRDefault="00573680">
            <w:pPr>
              <w:jc w:val="right"/>
              <w:rPr>
                <w:rFonts w:cstheme="minorHAnsi"/>
                <w:color w:val="000000"/>
                <w:sz w:val="18"/>
                <w:szCs w:val="18"/>
              </w:rPr>
            </w:pPr>
            <w:r w:rsidRPr="00761055">
              <w:rPr>
                <w:rFonts w:cstheme="minorHAnsi"/>
                <w:color w:val="000000"/>
                <w:sz w:val="18"/>
                <w:szCs w:val="18"/>
              </w:rPr>
              <w:t>30,2%</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66" w14:textId="77777777" w:rsidR="00573680" w:rsidRPr="00761055" w:rsidRDefault="00573680">
            <w:pPr>
              <w:jc w:val="right"/>
              <w:rPr>
                <w:rFonts w:cstheme="minorHAnsi"/>
                <w:color w:val="000000"/>
                <w:sz w:val="18"/>
                <w:szCs w:val="18"/>
              </w:rPr>
            </w:pPr>
            <w:r w:rsidRPr="00761055">
              <w:rPr>
                <w:rFonts w:cstheme="minorHAnsi"/>
                <w:color w:val="000000"/>
                <w:sz w:val="18"/>
                <w:szCs w:val="18"/>
              </w:rPr>
              <w:t>21,2%</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67" w14:textId="77777777" w:rsidR="00573680" w:rsidRPr="00761055" w:rsidRDefault="00573680">
            <w:pPr>
              <w:jc w:val="right"/>
              <w:rPr>
                <w:rFonts w:cstheme="minorHAnsi"/>
                <w:color w:val="000000"/>
                <w:sz w:val="18"/>
                <w:szCs w:val="18"/>
              </w:rPr>
            </w:pPr>
            <w:r w:rsidRPr="00761055">
              <w:rPr>
                <w:rFonts w:cstheme="minorHAnsi"/>
                <w:color w:val="000000"/>
                <w:sz w:val="18"/>
                <w:szCs w:val="18"/>
              </w:rPr>
              <w:t>17,6%</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68" w14:textId="77777777" w:rsidR="00573680" w:rsidRPr="00761055" w:rsidRDefault="00573680">
            <w:pPr>
              <w:jc w:val="right"/>
              <w:rPr>
                <w:rFonts w:cstheme="minorHAnsi"/>
                <w:color w:val="000000"/>
                <w:sz w:val="18"/>
                <w:szCs w:val="18"/>
              </w:rPr>
            </w:pPr>
            <w:r w:rsidRPr="00761055">
              <w:rPr>
                <w:rFonts w:cstheme="minorHAnsi"/>
                <w:color w:val="000000"/>
                <w:sz w:val="18"/>
                <w:szCs w:val="18"/>
              </w:rPr>
              <w:t>19,2%</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69" w14:textId="77777777" w:rsidR="00573680" w:rsidRPr="00761055" w:rsidRDefault="00573680">
            <w:pPr>
              <w:jc w:val="right"/>
              <w:rPr>
                <w:rFonts w:cstheme="minorHAnsi"/>
                <w:color w:val="000000"/>
                <w:sz w:val="18"/>
                <w:szCs w:val="18"/>
              </w:rPr>
            </w:pPr>
            <w:r w:rsidRPr="00761055">
              <w:rPr>
                <w:rFonts w:cstheme="minorHAnsi"/>
                <w:color w:val="000000"/>
                <w:sz w:val="18"/>
                <w:szCs w:val="18"/>
              </w:rPr>
              <w:t>3,8%</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6A"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6B" w14:textId="77777777" w:rsidR="00573680" w:rsidRPr="00761055" w:rsidRDefault="00573680">
            <w:pPr>
              <w:jc w:val="right"/>
              <w:rPr>
                <w:rFonts w:cstheme="minorHAnsi"/>
                <w:color w:val="000000"/>
                <w:sz w:val="18"/>
                <w:szCs w:val="18"/>
              </w:rPr>
            </w:pPr>
            <w:r w:rsidRPr="00761055">
              <w:rPr>
                <w:rFonts w:cstheme="minorHAnsi"/>
                <w:color w:val="000000"/>
                <w:sz w:val="18"/>
                <w:szCs w:val="18"/>
              </w:rPr>
              <w:t>0,4%</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6C" w14:textId="77777777" w:rsidR="00573680" w:rsidRPr="00761055" w:rsidRDefault="00573680">
            <w:pPr>
              <w:jc w:val="right"/>
              <w:rPr>
                <w:rFonts w:cstheme="minorHAnsi"/>
                <w:color w:val="000000"/>
                <w:sz w:val="18"/>
                <w:szCs w:val="18"/>
              </w:rPr>
            </w:pPr>
            <w:r w:rsidRPr="00761055">
              <w:rPr>
                <w:rFonts w:cstheme="minorHAnsi"/>
                <w:color w:val="000000"/>
                <w:sz w:val="18"/>
                <w:szCs w:val="18"/>
              </w:rPr>
              <w:t>96,4%</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6D" w14:textId="77777777" w:rsidR="00573680" w:rsidRPr="00761055" w:rsidRDefault="00573680">
            <w:pPr>
              <w:jc w:val="right"/>
              <w:rPr>
                <w:rFonts w:cstheme="minorHAnsi"/>
                <w:color w:val="000000"/>
                <w:sz w:val="18"/>
                <w:szCs w:val="18"/>
              </w:rPr>
            </w:pPr>
            <w:r w:rsidRPr="00761055">
              <w:rPr>
                <w:rFonts w:cstheme="minorHAnsi"/>
                <w:color w:val="000000"/>
                <w:sz w:val="18"/>
                <w:szCs w:val="18"/>
              </w:rPr>
              <w:t>97,6%</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6E" w14:textId="77777777" w:rsidR="00573680" w:rsidRPr="00761055" w:rsidRDefault="00573680">
            <w:pPr>
              <w:jc w:val="right"/>
              <w:rPr>
                <w:rFonts w:cstheme="minorHAnsi"/>
                <w:color w:val="000000"/>
                <w:sz w:val="18"/>
                <w:szCs w:val="18"/>
              </w:rPr>
            </w:pPr>
            <w:r w:rsidRPr="00761055">
              <w:rPr>
                <w:rFonts w:cstheme="minorHAnsi"/>
                <w:color w:val="000000"/>
                <w:sz w:val="18"/>
                <w:szCs w:val="18"/>
              </w:rPr>
              <w:t>95,2%</w:t>
            </w:r>
          </w:p>
        </w:tc>
      </w:tr>
      <w:tr w:rsidR="007A2E50" w:rsidRPr="00761055" w14:paraId="569F2078" w14:textId="77777777" w:rsidTr="002F33BC">
        <w:trPr>
          <w:trHeight w:val="402"/>
        </w:trPr>
        <w:tc>
          <w:tcPr>
            <w:tcW w:w="2024" w:type="dxa"/>
            <w:tcBorders>
              <w:top w:val="nil"/>
              <w:left w:val="nil"/>
              <w:bottom w:val="nil"/>
              <w:right w:val="nil"/>
            </w:tcBorders>
            <w:shd w:val="clear" w:color="auto" w:fill="auto"/>
            <w:noWrap/>
            <w:vAlign w:val="bottom"/>
          </w:tcPr>
          <w:p w14:paraId="569F2070" w14:textId="77777777" w:rsidR="00573680" w:rsidRPr="00761055" w:rsidRDefault="00573680" w:rsidP="0042408F">
            <w:pPr>
              <w:spacing w:line="240" w:lineRule="auto"/>
              <w:rPr>
                <w:rFonts w:eastAsia="Times New Roman" w:cstheme="minorHAnsi"/>
                <w:color w:val="000000"/>
                <w:sz w:val="18"/>
                <w:szCs w:val="18"/>
              </w:rPr>
            </w:pPr>
          </w:p>
        </w:tc>
        <w:tc>
          <w:tcPr>
            <w:tcW w:w="20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071" w14:textId="77777777" w:rsidR="00573680" w:rsidRPr="00573680" w:rsidRDefault="00573680" w:rsidP="00573680">
            <w:pPr>
              <w:jc w:val="center"/>
              <w:rPr>
                <w:rFonts w:cstheme="minorHAnsi"/>
                <w:b/>
                <w:color w:val="000000"/>
                <w:sz w:val="18"/>
                <w:szCs w:val="18"/>
              </w:rPr>
            </w:pPr>
            <w:r>
              <w:rPr>
                <w:rFonts w:cstheme="minorHAnsi"/>
                <w:b/>
                <w:color w:val="000000"/>
                <w:sz w:val="18"/>
                <w:szCs w:val="18"/>
              </w:rPr>
              <w:t>Netto schuldquote</w:t>
            </w:r>
          </w:p>
        </w:tc>
        <w:tc>
          <w:tcPr>
            <w:tcW w:w="20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072" w14:textId="77777777" w:rsidR="00573680" w:rsidRDefault="00573680" w:rsidP="00573680">
            <w:pPr>
              <w:rPr>
                <w:rFonts w:cstheme="minorHAnsi"/>
                <w:b/>
                <w:color w:val="000000"/>
                <w:sz w:val="18"/>
                <w:szCs w:val="18"/>
              </w:rPr>
            </w:pPr>
          </w:p>
          <w:p w14:paraId="569F2073" w14:textId="77777777" w:rsidR="00573680" w:rsidRPr="00573680" w:rsidRDefault="002F33BC" w:rsidP="007A2E50">
            <w:pPr>
              <w:jc w:val="center"/>
              <w:rPr>
                <w:rFonts w:cstheme="minorHAnsi"/>
                <w:b/>
                <w:color w:val="000000"/>
                <w:sz w:val="18"/>
                <w:szCs w:val="18"/>
              </w:rPr>
            </w:pPr>
            <w:r>
              <w:rPr>
                <w:rFonts w:cstheme="minorHAnsi"/>
                <w:b/>
                <w:color w:val="000000"/>
                <w:sz w:val="18"/>
                <w:szCs w:val="18"/>
              </w:rPr>
              <w:t>Netto schuldquote</w:t>
            </w:r>
            <w:r w:rsidR="007A2E50">
              <w:rPr>
                <w:rFonts w:cstheme="minorHAnsi"/>
                <w:b/>
                <w:color w:val="000000"/>
                <w:sz w:val="18"/>
                <w:szCs w:val="18"/>
              </w:rPr>
              <w:t xml:space="preserve"> gecorrigeerd</w:t>
            </w:r>
            <w:r>
              <w:rPr>
                <w:rFonts w:cstheme="minorHAnsi"/>
                <w:b/>
                <w:color w:val="000000"/>
                <w:sz w:val="18"/>
                <w:szCs w:val="18"/>
              </w:rPr>
              <w:t xml:space="preserve"> voor verstrekte leningen</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074" w14:textId="77777777" w:rsidR="00573680" w:rsidRPr="00761055" w:rsidRDefault="00573680" w:rsidP="00573680">
            <w:pPr>
              <w:jc w:val="center"/>
              <w:rPr>
                <w:rFonts w:cstheme="minorHAnsi"/>
                <w:color w:val="000000"/>
                <w:sz w:val="18"/>
                <w:szCs w:val="18"/>
              </w:rPr>
            </w:pPr>
            <w:r w:rsidRPr="00761055">
              <w:rPr>
                <w:rFonts w:eastAsia="Times New Roman" w:cstheme="minorHAnsi"/>
                <w:b/>
                <w:bCs/>
                <w:color w:val="000000"/>
                <w:sz w:val="18"/>
                <w:szCs w:val="18"/>
              </w:rPr>
              <w:t>Solvabiliteit</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075" w14:textId="77777777" w:rsidR="00573680" w:rsidRPr="00761055" w:rsidRDefault="00573680" w:rsidP="00573680">
            <w:pPr>
              <w:jc w:val="center"/>
              <w:rPr>
                <w:rFonts w:cstheme="minorHAnsi"/>
                <w:color w:val="000000"/>
                <w:sz w:val="18"/>
                <w:szCs w:val="18"/>
              </w:rPr>
            </w:pPr>
            <w:r w:rsidRPr="00761055">
              <w:rPr>
                <w:rFonts w:eastAsia="Times New Roman" w:cstheme="minorHAnsi"/>
                <w:b/>
                <w:bCs/>
                <w:color w:val="000000"/>
                <w:sz w:val="18"/>
                <w:szCs w:val="18"/>
              </w:rPr>
              <w:t>Grondexploitatie</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076" w14:textId="77777777" w:rsidR="00573680" w:rsidRPr="002F33BC" w:rsidRDefault="002F33BC" w:rsidP="002F33BC">
            <w:pPr>
              <w:jc w:val="center"/>
              <w:rPr>
                <w:rFonts w:cstheme="minorHAnsi"/>
                <w:b/>
                <w:color w:val="000000"/>
                <w:sz w:val="18"/>
                <w:szCs w:val="18"/>
              </w:rPr>
            </w:pPr>
            <w:r>
              <w:rPr>
                <w:rFonts w:cstheme="minorHAnsi"/>
                <w:b/>
                <w:color w:val="000000"/>
                <w:sz w:val="18"/>
                <w:szCs w:val="18"/>
              </w:rPr>
              <w:t>Structurele exploitatie ruimte</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077" w14:textId="77777777" w:rsidR="00573680" w:rsidRPr="00761055" w:rsidRDefault="00573680" w:rsidP="00573680">
            <w:pPr>
              <w:jc w:val="center"/>
              <w:rPr>
                <w:rFonts w:cstheme="minorHAnsi"/>
                <w:color w:val="000000"/>
                <w:sz w:val="18"/>
                <w:szCs w:val="18"/>
              </w:rPr>
            </w:pPr>
            <w:r w:rsidRPr="00761055">
              <w:rPr>
                <w:rFonts w:eastAsia="Times New Roman" w:cstheme="minorHAnsi"/>
                <w:b/>
                <w:bCs/>
                <w:color w:val="000000"/>
                <w:sz w:val="18"/>
                <w:szCs w:val="18"/>
              </w:rPr>
              <w:t>Belastingcapaciteit</w:t>
            </w:r>
          </w:p>
        </w:tc>
      </w:tr>
      <w:tr w:rsidR="007A2E50" w:rsidRPr="00761055" w14:paraId="569F208C" w14:textId="77777777" w:rsidTr="002F33BC">
        <w:trPr>
          <w:trHeight w:val="402"/>
        </w:trPr>
        <w:tc>
          <w:tcPr>
            <w:tcW w:w="2024" w:type="dxa"/>
            <w:tcBorders>
              <w:top w:val="nil"/>
              <w:left w:val="nil"/>
              <w:bottom w:val="nil"/>
              <w:right w:val="nil"/>
            </w:tcBorders>
            <w:shd w:val="clear" w:color="auto" w:fill="auto"/>
            <w:noWrap/>
            <w:vAlign w:val="bottom"/>
            <w:hideMark/>
          </w:tcPr>
          <w:p w14:paraId="569F2079"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Midden-Delfland</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7A" w14:textId="77777777" w:rsidR="00573680" w:rsidRPr="00761055" w:rsidRDefault="00573680">
            <w:pPr>
              <w:jc w:val="right"/>
              <w:rPr>
                <w:rFonts w:cstheme="minorHAnsi"/>
                <w:color w:val="000000"/>
                <w:sz w:val="18"/>
                <w:szCs w:val="18"/>
              </w:rPr>
            </w:pPr>
            <w:r w:rsidRPr="00761055">
              <w:rPr>
                <w:rFonts w:cstheme="minorHAnsi"/>
                <w:color w:val="000000"/>
                <w:sz w:val="18"/>
                <w:szCs w:val="18"/>
              </w:rPr>
              <w:t>2,4%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7B" w14:textId="77777777" w:rsidR="00573680" w:rsidRPr="00761055" w:rsidRDefault="00573680">
            <w:pPr>
              <w:jc w:val="right"/>
              <w:rPr>
                <w:rFonts w:cstheme="minorHAnsi"/>
                <w:color w:val="000000"/>
                <w:sz w:val="18"/>
                <w:szCs w:val="18"/>
              </w:rPr>
            </w:pPr>
            <w:r w:rsidRPr="00761055">
              <w:rPr>
                <w:rFonts w:cstheme="minorHAnsi"/>
                <w:color w:val="000000"/>
                <w:sz w:val="18"/>
                <w:szCs w:val="18"/>
              </w:rPr>
              <w:t>4,2%</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7C" w14:textId="77777777" w:rsidR="00573680" w:rsidRPr="00761055" w:rsidRDefault="00573680">
            <w:pPr>
              <w:jc w:val="right"/>
              <w:rPr>
                <w:rFonts w:cstheme="minorHAnsi"/>
                <w:color w:val="000000"/>
                <w:sz w:val="18"/>
                <w:szCs w:val="18"/>
              </w:rPr>
            </w:pPr>
            <w:r w:rsidRPr="00761055">
              <w:rPr>
                <w:rFonts w:cstheme="minorHAnsi"/>
                <w:color w:val="000000"/>
                <w:sz w:val="18"/>
                <w:szCs w:val="18"/>
              </w:rPr>
              <w:t>3,5%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7D" w14:textId="77777777" w:rsidR="00573680" w:rsidRPr="00761055" w:rsidRDefault="00573680">
            <w:pPr>
              <w:jc w:val="right"/>
              <w:rPr>
                <w:rFonts w:cstheme="minorHAnsi"/>
                <w:color w:val="000000"/>
                <w:sz w:val="18"/>
                <w:szCs w:val="18"/>
              </w:rPr>
            </w:pPr>
            <w:r w:rsidRPr="00761055">
              <w:rPr>
                <w:rFonts w:cstheme="minorHAnsi"/>
                <w:color w:val="000000"/>
                <w:sz w:val="18"/>
                <w:szCs w:val="18"/>
              </w:rPr>
              <w:t>-1,6%</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7E" w14:textId="77777777" w:rsidR="00573680" w:rsidRPr="00761055" w:rsidRDefault="00573680">
            <w:pPr>
              <w:jc w:val="right"/>
              <w:rPr>
                <w:rFonts w:cstheme="minorHAnsi"/>
                <w:color w:val="000000"/>
                <w:sz w:val="18"/>
                <w:szCs w:val="18"/>
              </w:rPr>
            </w:pPr>
            <w:r w:rsidRPr="00761055">
              <w:rPr>
                <w:rFonts w:cstheme="minorHAnsi"/>
                <w:color w:val="000000"/>
                <w:sz w:val="18"/>
                <w:szCs w:val="18"/>
              </w:rPr>
              <w:t>0,8%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7F" w14:textId="77777777" w:rsidR="00573680" w:rsidRPr="00761055" w:rsidRDefault="00573680">
            <w:pPr>
              <w:jc w:val="right"/>
              <w:rPr>
                <w:rFonts w:cstheme="minorHAnsi"/>
                <w:color w:val="000000"/>
                <w:sz w:val="18"/>
                <w:szCs w:val="18"/>
              </w:rPr>
            </w:pPr>
            <w:r w:rsidRPr="00761055">
              <w:rPr>
                <w:rFonts w:cstheme="minorHAnsi"/>
                <w:color w:val="000000"/>
                <w:sz w:val="18"/>
                <w:szCs w:val="18"/>
              </w:rPr>
              <w:t>0,5%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80" w14:textId="77777777" w:rsidR="00573680" w:rsidRPr="00761055" w:rsidRDefault="00573680">
            <w:pPr>
              <w:jc w:val="right"/>
              <w:rPr>
                <w:rFonts w:cstheme="minorHAnsi"/>
                <w:color w:val="000000"/>
                <w:sz w:val="18"/>
                <w:szCs w:val="18"/>
              </w:rPr>
            </w:pPr>
            <w:r w:rsidRPr="00761055">
              <w:rPr>
                <w:rFonts w:cstheme="minorHAnsi"/>
                <w:color w:val="000000"/>
                <w:sz w:val="18"/>
                <w:szCs w:val="18"/>
              </w:rPr>
              <w:t>236,4%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81" w14:textId="77777777" w:rsidR="00573680" w:rsidRPr="00761055" w:rsidRDefault="00573680">
            <w:pPr>
              <w:jc w:val="right"/>
              <w:rPr>
                <w:rFonts w:cstheme="minorHAnsi"/>
                <w:color w:val="000000"/>
                <w:sz w:val="18"/>
                <w:szCs w:val="18"/>
              </w:rPr>
            </w:pPr>
            <w:r w:rsidRPr="00761055">
              <w:rPr>
                <w:rFonts w:cstheme="minorHAnsi"/>
                <w:color w:val="000000"/>
                <w:sz w:val="18"/>
                <w:szCs w:val="18"/>
              </w:rPr>
              <w:t>298,3%</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82" w14:textId="77777777" w:rsidR="00573680" w:rsidRPr="00761055" w:rsidRDefault="00573680">
            <w:pPr>
              <w:jc w:val="right"/>
              <w:rPr>
                <w:rFonts w:cstheme="minorHAnsi"/>
                <w:color w:val="000000"/>
                <w:sz w:val="18"/>
                <w:szCs w:val="18"/>
              </w:rPr>
            </w:pPr>
            <w:r w:rsidRPr="00761055">
              <w:rPr>
                <w:rFonts w:cstheme="minorHAnsi"/>
                <w:color w:val="000000"/>
                <w:sz w:val="18"/>
                <w:szCs w:val="18"/>
              </w:rPr>
              <w:t>331,5%</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83" w14:textId="77777777" w:rsidR="00573680" w:rsidRPr="00761055" w:rsidRDefault="00573680">
            <w:pPr>
              <w:jc w:val="right"/>
              <w:rPr>
                <w:rFonts w:cstheme="minorHAnsi"/>
                <w:color w:val="000000"/>
                <w:sz w:val="18"/>
                <w:szCs w:val="18"/>
              </w:rPr>
            </w:pPr>
            <w:r w:rsidRPr="00761055">
              <w:rPr>
                <w:rFonts w:cstheme="minorHAnsi"/>
                <w:color w:val="000000"/>
                <w:sz w:val="18"/>
                <w:szCs w:val="18"/>
              </w:rPr>
              <w:t>71,1%</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84" w14:textId="77777777" w:rsidR="00573680" w:rsidRPr="00761055" w:rsidRDefault="00573680">
            <w:pPr>
              <w:jc w:val="right"/>
              <w:rPr>
                <w:rFonts w:cstheme="minorHAnsi"/>
                <w:color w:val="000000"/>
                <w:sz w:val="18"/>
                <w:szCs w:val="18"/>
              </w:rPr>
            </w:pPr>
            <w:r w:rsidRPr="00761055">
              <w:rPr>
                <w:rFonts w:cstheme="minorHAnsi"/>
                <w:color w:val="000000"/>
                <w:sz w:val="18"/>
                <w:szCs w:val="18"/>
              </w:rPr>
              <w:t>61,1%</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85" w14:textId="77777777" w:rsidR="00573680" w:rsidRPr="00761055" w:rsidRDefault="00573680">
            <w:pPr>
              <w:jc w:val="right"/>
              <w:rPr>
                <w:rFonts w:cstheme="minorHAnsi"/>
                <w:color w:val="000000"/>
                <w:sz w:val="18"/>
                <w:szCs w:val="18"/>
              </w:rPr>
            </w:pPr>
            <w:r w:rsidRPr="00761055">
              <w:rPr>
                <w:rFonts w:cstheme="minorHAnsi"/>
                <w:color w:val="000000"/>
                <w:sz w:val="18"/>
                <w:szCs w:val="18"/>
              </w:rPr>
              <w:t>55,1%</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86" w14:textId="77777777" w:rsidR="00573680" w:rsidRPr="00761055" w:rsidRDefault="00573680">
            <w:pPr>
              <w:jc w:val="right"/>
              <w:rPr>
                <w:rFonts w:cstheme="minorHAnsi"/>
                <w:color w:val="000000"/>
                <w:sz w:val="18"/>
                <w:szCs w:val="18"/>
              </w:rPr>
            </w:pPr>
            <w:r w:rsidRPr="00761055">
              <w:rPr>
                <w:rFonts w:cstheme="minorHAnsi"/>
                <w:color w:val="000000"/>
                <w:sz w:val="18"/>
                <w:szCs w:val="18"/>
              </w:rPr>
              <w:t>3,7%</w:t>
            </w:r>
          </w:p>
        </w:tc>
        <w:tc>
          <w:tcPr>
            <w:tcW w:w="6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87" w14:textId="77777777" w:rsidR="00573680" w:rsidRPr="00761055" w:rsidRDefault="00573680">
            <w:pPr>
              <w:jc w:val="right"/>
              <w:rPr>
                <w:rFonts w:cstheme="minorHAnsi"/>
                <w:color w:val="000000"/>
                <w:sz w:val="18"/>
                <w:szCs w:val="18"/>
              </w:rPr>
            </w:pPr>
            <w:r w:rsidRPr="00761055">
              <w:rPr>
                <w:rFonts w:cstheme="minorHAnsi"/>
                <w:color w:val="000000"/>
                <w:sz w:val="18"/>
                <w:szCs w:val="18"/>
              </w:rPr>
              <w:t>-5,1%</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88" w14:textId="77777777" w:rsidR="00573680" w:rsidRPr="00761055" w:rsidRDefault="00573680">
            <w:pPr>
              <w:jc w:val="right"/>
              <w:rPr>
                <w:rFonts w:cstheme="minorHAnsi"/>
                <w:color w:val="000000"/>
                <w:sz w:val="18"/>
                <w:szCs w:val="18"/>
              </w:rPr>
            </w:pPr>
            <w:r w:rsidRPr="00761055">
              <w:rPr>
                <w:rFonts w:cstheme="minorHAnsi"/>
                <w:color w:val="000000"/>
                <w:sz w:val="18"/>
                <w:szCs w:val="18"/>
              </w:rPr>
              <w:t>5,5%</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89" w14:textId="77777777" w:rsidR="00573680" w:rsidRPr="00761055" w:rsidRDefault="00573680">
            <w:pPr>
              <w:jc w:val="right"/>
              <w:rPr>
                <w:rFonts w:cstheme="minorHAnsi"/>
                <w:color w:val="000000"/>
                <w:sz w:val="18"/>
                <w:szCs w:val="18"/>
              </w:rPr>
            </w:pPr>
            <w:r w:rsidRPr="00761055">
              <w:rPr>
                <w:rFonts w:cstheme="minorHAnsi"/>
                <w:color w:val="000000"/>
                <w:sz w:val="18"/>
                <w:szCs w:val="18"/>
              </w:rPr>
              <w:t>124,5%</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8A" w14:textId="77777777" w:rsidR="00573680" w:rsidRPr="00761055" w:rsidRDefault="00573680">
            <w:pPr>
              <w:jc w:val="right"/>
              <w:rPr>
                <w:rFonts w:cstheme="minorHAnsi"/>
                <w:color w:val="000000"/>
                <w:sz w:val="18"/>
                <w:szCs w:val="18"/>
              </w:rPr>
            </w:pPr>
            <w:r w:rsidRPr="00761055">
              <w:rPr>
                <w:rFonts w:cstheme="minorHAnsi"/>
                <w:color w:val="000000"/>
                <w:sz w:val="18"/>
                <w:szCs w:val="18"/>
              </w:rPr>
              <w:t>124,8%</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8B" w14:textId="77777777" w:rsidR="00573680" w:rsidRPr="00761055" w:rsidRDefault="00573680">
            <w:pPr>
              <w:jc w:val="right"/>
              <w:rPr>
                <w:rFonts w:cstheme="minorHAnsi"/>
                <w:color w:val="000000"/>
                <w:sz w:val="18"/>
                <w:szCs w:val="18"/>
              </w:rPr>
            </w:pPr>
            <w:r w:rsidRPr="00761055">
              <w:rPr>
                <w:rFonts w:cstheme="minorHAnsi"/>
                <w:color w:val="000000"/>
                <w:sz w:val="18"/>
                <w:szCs w:val="18"/>
              </w:rPr>
              <w:t>124,8%</w:t>
            </w:r>
          </w:p>
        </w:tc>
      </w:tr>
      <w:tr w:rsidR="007A2E50" w:rsidRPr="00761055" w14:paraId="569F20A0" w14:textId="77777777" w:rsidTr="002F33BC">
        <w:trPr>
          <w:trHeight w:val="402"/>
        </w:trPr>
        <w:tc>
          <w:tcPr>
            <w:tcW w:w="2024" w:type="dxa"/>
            <w:tcBorders>
              <w:top w:val="nil"/>
              <w:left w:val="nil"/>
              <w:bottom w:val="nil"/>
              <w:right w:val="nil"/>
            </w:tcBorders>
            <w:shd w:val="clear" w:color="auto" w:fill="auto"/>
            <w:noWrap/>
            <w:vAlign w:val="bottom"/>
            <w:hideMark/>
          </w:tcPr>
          <w:p w14:paraId="569F208D"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Molenwaard</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8E" w14:textId="77777777" w:rsidR="00573680" w:rsidRPr="00761055" w:rsidRDefault="00573680">
            <w:pPr>
              <w:jc w:val="right"/>
              <w:rPr>
                <w:rFonts w:cstheme="minorHAnsi"/>
                <w:color w:val="000000"/>
                <w:sz w:val="18"/>
                <w:szCs w:val="18"/>
              </w:rPr>
            </w:pPr>
            <w:r w:rsidRPr="00761055">
              <w:rPr>
                <w:rFonts w:cstheme="minorHAnsi"/>
                <w:color w:val="000000"/>
                <w:sz w:val="18"/>
                <w:szCs w:val="18"/>
              </w:rPr>
              <w:t>118,6%</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8F" w14:textId="77777777" w:rsidR="00573680" w:rsidRPr="00761055" w:rsidRDefault="00573680">
            <w:pPr>
              <w:jc w:val="right"/>
              <w:rPr>
                <w:rFonts w:cstheme="minorHAnsi"/>
                <w:color w:val="000000"/>
                <w:sz w:val="18"/>
                <w:szCs w:val="18"/>
              </w:rPr>
            </w:pPr>
            <w:r w:rsidRPr="00761055">
              <w:rPr>
                <w:rFonts w:cstheme="minorHAnsi"/>
                <w:color w:val="000000"/>
                <w:sz w:val="18"/>
                <w:szCs w:val="18"/>
              </w:rPr>
              <w:t>103,3%</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90" w14:textId="77777777" w:rsidR="00573680" w:rsidRPr="00761055" w:rsidRDefault="00573680">
            <w:pPr>
              <w:jc w:val="right"/>
              <w:rPr>
                <w:rFonts w:cstheme="minorHAnsi"/>
                <w:color w:val="000000"/>
                <w:sz w:val="18"/>
                <w:szCs w:val="18"/>
              </w:rPr>
            </w:pPr>
            <w:r w:rsidRPr="00761055">
              <w:rPr>
                <w:rFonts w:cstheme="minorHAnsi"/>
                <w:color w:val="000000"/>
                <w:sz w:val="18"/>
                <w:szCs w:val="18"/>
              </w:rPr>
              <w:t>105,0%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91" w14:textId="77777777" w:rsidR="00573680" w:rsidRPr="00761055" w:rsidRDefault="00573680">
            <w:pPr>
              <w:jc w:val="right"/>
              <w:rPr>
                <w:rFonts w:cstheme="minorHAnsi"/>
                <w:color w:val="000000"/>
                <w:sz w:val="18"/>
                <w:szCs w:val="18"/>
              </w:rPr>
            </w:pPr>
            <w:r w:rsidRPr="00761055">
              <w:rPr>
                <w:rFonts w:cstheme="minorHAnsi"/>
                <w:color w:val="000000"/>
                <w:sz w:val="18"/>
                <w:szCs w:val="18"/>
              </w:rPr>
              <w:t>107,7%</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92" w14:textId="77777777" w:rsidR="00573680" w:rsidRPr="00761055" w:rsidRDefault="00573680">
            <w:pPr>
              <w:jc w:val="right"/>
              <w:rPr>
                <w:rFonts w:cstheme="minorHAnsi"/>
                <w:color w:val="000000"/>
                <w:sz w:val="18"/>
                <w:szCs w:val="18"/>
              </w:rPr>
            </w:pPr>
            <w:r w:rsidRPr="00761055">
              <w:rPr>
                <w:rFonts w:cstheme="minorHAnsi"/>
                <w:color w:val="000000"/>
                <w:sz w:val="18"/>
                <w:szCs w:val="18"/>
              </w:rPr>
              <w:t>95,5%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93" w14:textId="77777777" w:rsidR="00573680" w:rsidRPr="00761055" w:rsidRDefault="00573680">
            <w:pPr>
              <w:jc w:val="right"/>
              <w:rPr>
                <w:rFonts w:cstheme="minorHAnsi"/>
                <w:color w:val="000000"/>
                <w:sz w:val="18"/>
                <w:szCs w:val="18"/>
              </w:rPr>
            </w:pPr>
            <w:r w:rsidRPr="00761055">
              <w:rPr>
                <w:rFonts w:cstheme="minorHAnsi"/>
                <w:color w:val="000000"/>
                <w:sz w:val="18"/>
                <w:szCs w:val="18"/>
              </w:rPr>
              <w:t>98,0%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94" w14:textId="77777777" w:rsidR="00573680" w:rsidRPr="00761055" w:rsidRDefault="00573680">
            <w:pPr>
              <w:jc w:val="right"/>
              <w:rPr>
                <w:rFonts w:cstheme="minorHAnsi"/>
                <w:color w:val="000000"/>
                <w:sz w:val="18"/>
                <w:szCs w:val="18"/>
              </w:rPr>
            </w:pPr>
            <w:r w:rsidRPr="00761055">
              <w:rPr>
                <w:rFonts w:cstheme="minorHAnsi"/>
                <w:color w:val="000000"/>
                <w:sz w:val="18"/>
                <w:szCs w:val="18"/>
              </w:rPr>
              <w:t>24,6%</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95" w14:textId="77777777" w:rsidR="00573680" w:rsidRPr="00761055" w:rsidRDefault="00573680">
            <w:pPr>
              <w:jc w:val="right"/>
              <w:rPr>
                <w:rFonts w:cstheme="minorHAnsi"/>
                <w:color w:val="000000"/>
                <w:sz w:val="18"/>
                <w:szCs w:val="18"/>
              </w:rPr>
            </w:pPr>
            <w:r w:rsidRPr="00761055">
              <w:rPr>
                <w:rFonts w:cstheme="minorHAnsi"/>
                <w:color w:val="000000"/>
                <w:sz w:val="18"/>
                <w:szCs w:val="18"/>
              </w:rPr>
              <w:t>20,8%</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96" w14:textId="77777777" w:rsidR="00573680" w:rsidRPr="00761055" w:rsidRDefault="00573680">
            <w:pPr>
              <w:jc w:val="right"/>
              <w:rPr>
                <w:rFonts w:cstheme="minorHAnsi"/>
                <w:color w:val="000000"/>
                <w:sz w:val="18"/>
                <w:szCs w:val="18"/>
              </w:rPr>
            </w:pPr>
            <w:r w:rsidRPr="00761055">
              <w:rPr>
                <w:rFonts w:cstheme="minorHAnsi"/>
                <w:color w:val="000000"/>
                <w:sz w:val="18"/>
                <w:szCs w:val="18"/>
              </w:rPr>
              <w:t>16,8%</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97" w14:textId="77777777" w:rsidR="00573680" w:rsidRPr="00761055" w:rsidRDefault="00573680">
            <w:pPr>
              <w:jc w:val="right"/>
              <w:rPr>
                <w:rFonts w:cstheme="minorHAnsi"/>
                <w:color w:val="000000"/>
                <w:sz w:val="18"/>
                <w:szCs w:val="18"/>
              </w:rPr>
            </w:pPr>
            <w:r w:rsidRPr="00761055">
              <w:rPr>
                <w:rFonts w:cstheme="minorHAnsi"/>
                <w:color w:val="000000"/>
                <w:sz w:val="18"/>
                <w:szCs w:val="18"/>
              </w:rPr>
              <w:t>25,1%</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98" w14:textId="77777777" w:rsidR="00573680" w:rsidRPr="00761055" w:rsidRDefault="00573680">
            <w:pPr>
              <w:jc w:val="right"/>
              <w:rPr>
                <w:rFonts w:cstheme="minorHAnsi"/>
                <w:color w:val="000000"/>
                <w:sz w:val="18"/>
                <w:szCs w:val="18"/>
              </w:rPr>
            </w:pPr>
            <w:r w:rsidRPr="00761055">
              <w:rPr>
                <w:rFonts w:cstheme="minorHAnsi"/>
                <w:color w:val="000000"/>
                <w:sz w:val="18"/>
                <w:szCs w:val="18"/>
              </w:rPr>
              <w:t>20,7%</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99" w14:textId="77777777" w:rsidR="00573680" w:rsidRPr="00761055" w:rsidRDefault="00573680">
            <w:pPr>
              <w:jc w:val="right"/>
              <w:rPr>
                <w:rFonts w:cstheme="minorHAnsi"/>
                <w:color w:val="000000"/>
                <w:sz w:val="18"/>
                <w:szCs w:val="18"/>
              </w:rPr>
            </w:pPr>
            <w:r w:rsidRPr="00761055">
              <w:rPr>
                <w:rFonts w:cstheme="minorHAnsi"/>
                <w:color w:val="000000"/>
                <w:sz w:val="18"/>
                <w:szCs w:val="18"/>
              </w:rPr>
              <w:t>15,8%</w:t>
            </w:r>
          </w:p>
        </w:tc>
        <w:tc>
          <w:tcPr>
            <w:tcW w:w="6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9A" w14:textId="77777777" w:rsidR="00573680" w:rsidRPr="00761055" w:rsidRDefault="00573680">
            <w:pPr>
              <w:jc w:val="right"/>
              <w:rPr>
                <w:rFonts w:cstheme="minorHAnsi"/>
                <w:color w:val="000000"/>
                <w:sz w:val="18"/>
                <w:szCs w:val="18"/>
              </w:rPr>
            </w:pPr>
            <w:r w:rsidRPr="00761055">
              <w:rPr>
                <w:rFonts w:cstheme="minorHAnsi"/>
                <w:color w:val="000000"/>
                <w:sz w:val="18"/>
                <w:szCs w:val="18"/>
              </w:rPr>
              <w:t>-4,8%</w:t>
            </w:r>
          </w:p>
        </w:tc>
        <w:tc>
          <w:tcPr>
            <w:tcW w:w="6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9B" w14:textId="77777777" w:rsidR="00573680" w:rsidRPr="00761055" w:rsidRDefault="00573680">
            <w:pPr>
              <w:jc w:val="right"/>
              <w:rPr>
                <w:rFonts w:cstheme="minorHAnsi"/>
                <w:color w:val="000000"/>
                <w:sz w:val="18"/>
                <w:szCs w:val="18"/>
              </w:rPr>
            </w:pPr>
            <w:r w:rsidRPr="00761055">
              <w:rPr>
                <w:rFonts w:cstheme="minorHAnsi"/>
                <w:color w:val="000000"/>
                <w:sz w:val="18"/>
                <w:szCs w:val="18"/>
              </w:rPr>
              <w:t>-6,3%</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9C"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9D" w14:textId="77777777" w:rsidR="00573680" w:rsidRPr="00761055" w:rsidRDefault="00573680">
            <w:pPr>
              <w:jc w:val="right"/>
              <w:rPr>
                <w:rFonts w:cstheme="minorHAnsi"/>
                <w:color w:val="000000"/>
                <w:sz w:val="18"/>
                <w:szCs w:val="18"/>
              </w:rPr>
            </w:pPr>
            <w:r w:rsidRPr="00761055">
              <w:rPr>
                <w:rFonts w:cstheme="minorHAnsi"/>
                <w:color w:val="000000"/>
                <w:sz w:val="18"/>
                <w:szCs w:val="18"/>
              </w:rPr>
              <w:t>122,0%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9E" w14:textId="77777777" w:rsidR="00573680" w:rsidRPr="00761055" w:rsidRDefault="00573680">
            <w:pPr>
              <w:jc w:val="right"/>
              <w:rPr>
                <w:rFonts w:cstheme="minorHAnsi"/>
                <w:color w:val="000000"/>
                <w:sz w:val="18"/>
                <w:szCs w:val="18"/>
              </w:rPr>
            </w:pPr>
            <w:r w:rsidRPr="00761055">
              <w:rPr>
                <w:rFonts w:cstheme="minorHAnsi"/>
                <w:color w:val="000000"/>
                <w:sz w:val="18"/>
                <w:szCs w:val="18"/>
              </w:rPr>
              <w:t>120,0%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9F" w14:textId="77777777" w:rsidR="00573680" w:rsidRPr="00761055" w:rsidRDefault="00573680">
            <w:pPr>
              <w:jc w:val="right"/>
              <w:rPr>
                <w:rFonts w:cstheme="minorHAnsi"/>
                <w:color w:val="000000"/>
                <w:sz w:val="18"/>
                <w:szCs w:val="18"/>
              </w:rPr>
            </w:pPr>
            <w:r w:rsidRPr="00761055">
              <w:rPr>
                <w:rFonts w:cstheme="minorHAnsi"/>
                <w:color w:val="000000"/>
                <w:sz w:val="18"/>
                <w:szCs w:val="18"/>
              </w:rPr>
              <w:t>118,0%</w:t>
            </w:r>
          </w:p>
        </w:tc>
      </w:tr>
      <w:tr w:rsidR="007A2E50" w:rsidRPr="00761055" w14:paraId="569F20B4" w14:textId="77777777" w:rsidTr="002F33BC">
        <w:trPr>
          <w:trHeight w:val="402"/>
        </w:trPr>
        <w:tc>
          <w:tcPr>
            <w:tcW w:w="2024" w:type="dxa"/>
            <w:tcBorders>
              <w:top w:val="nil"/>
              <w:left w:val="nil"/>
              <w:bottom w:val="nil"/>
              <w:right w:val="nil"/>
            </w:tcBorders>
            <w:shd w:val="clear" w:color="auto" w:fill="auto"/>
            <w:noWrap/>
            <w:vAlign w:val="bottom"/>
            <w:hideMark/>
          </w:tcPr>
          <w:p w14:paraId="569F20A1"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Nieuwkoop</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A2" w14:textId="77777777" w:rsidR="00573680" w:rsidRPr="00761055" w:rsidRDefault="00573680">
            <w:pPr>
              <w:jc w:val="right"/>
              <w:rPr>
                <w:rFonts w:cstheme="minorHAnsi"/>
                <w:color w:val="000000"/>
                <w:sz w:val="18"/>
                <w:szCs w:val="18"/>
              </w:rPr>
            </w:pPr>
            <w:r w:rsidRPr="00761055">
              <w:rPr>
                <w:rFonts w:cstheme="minorHAnsi"/>
                <w:color w:val="000000"/>
                <w:sz w:val="18"/>
                <w:szCs w:val="18"/>
              </w:rPr>
              <w:t>79,3%</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A3" w14:textId="77777777" w:rsidR="00573680" w:rsidRPr="00761055" w:rsidRDefault="00573680">
            <w:pPr>
              <w:jc w:val="right"/>
              <w:rPr>
                <w:rFonts w:cstheme="minorHAnsi"/>
                <w:color w:val="000000"/>
                <w:sz w:val="18"/>
                <w:szCs w:val="18"/>
              </w:rPr>
            </w:pPr>
            <w:r w:rsidRPr="00761055">
              <w:rPr>
                <w:rFonts w:cstheme="minorHAnsi"/>
                <w:color w:val="000000"/>
                <w:sz w:val="18"/>
                <w:szCs w:val="18"/>
              </w:rPr>
              <w:t>86,5%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A4" w14:textId="77777777" w:rsidR="00573680" w:rsidRPr="00761055" w:rsidRDefault="00573680">
            <w:pPr>
              <w:jc w:val="right"/>
              <w:rPr>
                <w:rFonts w:cstheme="minorHAnsi"/>
                <w:color w:val="000000"/>
                <w:sz w:val="18"/>
                <w:szCs w:val="18"/>
              </w:rPr>
            </w:pPr>
            <w:r w:rsidRPr="00761055">
              <w:rPr>
                <w:rFonts w:cstheme="minorHAnsi"/>
                <w:color w:val="000000"/>
                <w:sz w:val="18"/>
                <w:szCs w:val="18"/>
              </w:rPr>
              <w:t>79,4%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A5" w14:textId="77777777" w:rsidR="00573680" w:rsidRPr="00761055" w:rsidRDefault="00573680">
            <w:pPr>
              <w:jc w:val="right"/>
              <w:rPr>
                <w:rFonts w:cstheme="minorHAnsi"/>
                <w:color w:val="000000"/>
                <w:sz w:val="18"/>
                <w:szCs w:val="18"/>
              </w:rPr>
            </w:pPr>
            <w:r w:rsidRPr="00761055">
              <w:rPr>
                <w:rFonts w:cstheme="minorHAnsi"/>
                <w:color w:val="000000"/>
                <w:sz w:val="18"/>
                <w:szCs w:val="18"/>
              </w:rPr>
              <w:t>32,5%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A6" w14:textId="77777777" w:rsidR="00573680" w:rsidRPr="00761055" w:rsidRDefault="00573680">
            <w:pPr>
              <w:jc w:val="right"/>
              <w:rPr>
                <w:rFonts w:cstheme="minorHAnsi"/>
                <w:color w:val="000000"/>
                <w:sz w:val="18"/>
                <w:szCs w:val="18"/>
              </w:rPr>
            </w:pPr>
            <w:r w:rsidRPr="00761055">
              <w:rPr>
                <w:rFonts w:cstheme="minorHAnsi"/>
                <w:color w:val="000000"/>
                <w:sz w:val="18"/>
                <w:szCs w:val="18"/>
              </w:rPr>
              <w:t>33,0%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A7" w14:textId="77777777" w:rsidR="00573680" w:rsidRPr="00761055" w:rsidRDefault="00573680">
            <w:pPr>
              <w:jc w:val="right"/>
              <w:rPr>
                <w:rFonts w:cstheme="minorHAnsi"/>
                <w:color w:val="000000"/>
                <w:sz w:val="18"/>
                <w:szCs w:val="18"/>
              </w:rPr>
            </w:pPr>
            <w:r w:rsidRPr="00761055">
              <w:rPr>
                <w:rFonts w:cstheme="minorHAnsi"/>
                <w:color w:val="000000"/>
                <w:sz w:val="18"/>
                <w:szCs w:val="18"/>
              </w:rPr>
              <w:t>36,1%</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A8" w14:textId="77777777" w:rsidR="00573680" w:rsidRPr="00761055" w:rsidRDefault="00573680">
            <w:pPr>
              <w:jc w:val="right"/>
              <w:rPr>
                <w:rFonts w:cstheme="minorHAnsi"/>
                <w:color w:val="000000"/>
                <w:sz w:val="18"/>
                <w:szCs w:val="18"/>
              </w:rPr>
            </w:pPr>
            <w:r w:rsidRPr="00761055">
              <w:rPr>
                <w:rFonts w:cstheme="minorHAnsi"/>
                <w:color w:val="000000"/>
                <w:sz w:val="18"/>
                <w:szCs w:val="18"/>
              </w:rPr>
              <w:t>46,1%</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A9" w14:textId="77777777" w:rsidR="00573680" w:rsidRPr="00761055" w:rsidRDefault="00573680">
            <w:pPr>
              <w:jc w:val="right"/>
              <w:rPr>
                <w:rFonts w:cstheme="minorHAnsi"/>
                <w:color w:val="000000"/>
                <w:sz w:val="18"/>
                <w:szCs w:val="18"/>
              </w:rPr>
            </w:pPr>
            <w:r w:rsidRPr="00761055">
              <w:rPr>
                <w:rFonts w:cstheme="minorHAnsi"/>
                <w:color w:val="000000"/>
                <w:sz w:val="18"/>
                <w:szCs w:val="18"/>
              </w:rPr>
              <w:t>33,3%</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AA" w14:textId="77777777" w:rsidR="00573680" w:rsidRPr="00761055" w:rsidRDefault="00573680">
            <w:pPr>
              <w:jc w:val="right"/>
              <w:rPr>
                <w:rFonts w:cstheme="minorHAnsi"/>
                <w:color w:val="000000"/>
                <w:sz w:val="18"/>
                <w:szCs w:val="18"/>
              </w:rPr>
            </w:pPr>
            <w:r w:rsidRPr="00761055">
              <w:rPr>
                <w:rFonts w:cstheme="minorHAnsi"/>
                <w:color w:val="000000"/>
                <w:sz w:val="18"/>
                <w:szCs w:val="18"/>
              </w:rPr>
              <w:t>36,5%</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AB" w14:textId="77777777" w:rsidR="00573680" w:rsidRPr="00761055" w:rsidRDefault="00573680">
            <w:pPr>
              <w:jc w:val="right"/>
              <w:rPr>
                <w:rFonts w:cstheme="minorHAnsi"/>
                <w:color w:val="000000"/>
                <w:sz w:val="18"/>
                <w:szCs w:val="18"/>
              </w:rPr>
            </w:pPr>
            <w:r w:rsidRPr="00761055">
              <w:rPr>
                <w:rFonts w:cstheme="minorHAnsi"/>
                <w:color w:val="000000"/>
                <w:sz w:val="18"/>
                <w:szCs w:val="18"/>
              </w:rPr>
              <w:t>86,1%</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AC" w14:textId="77777777" w:rsidR="00573680" w:rsidRPr="00761055" w:rsidRDefault="00573680">
            <w:pPr>
              <w:jc w:val="right"/>
              <w:rPr>
                <w:rFonts w:cstheme="minorHAnsi"/>
                <w:color w:val="000000"/>
                <w:sz w:val="18"/>
                <w:szCs w:val="18"/>
              </w:rPr>
            </w:pPr>
            <w:r w:rsidRPr="00761055">
              <w:rPr>
                <w:rFonts w:cstheme="minorHAnsi"/>
                <w:color w:val="000000"/>
                <w:sz w:val="18"/>
                <w:szCs w:val="18"/>
              </w:rPr>
              <w:t>69,1%</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AD" w14:textId="77777777" w:rsidR="00573680" w:rsidRPr="00761055" w:rsidRDefault="00573680">
            <w:pPr>
              <w:jc w:val="right"/>
              <w:rPr>
                <w:rFonts w:cstheme="minorHAnsi"/>
                <w:color w:val="000000"/>
                <w:sz w:val="18"/>
                <w:szCs w:val="18"/>
              </w:rPr>
            </w:pPr>
            <w:r w:rsidRPr="00761055">
              <w:rPr>
                <w:rFonts w:cstheme="minorHAnsi"/>
                <w:color w:val="000000"/>
                <w:sz w:val="18"/>
                <w:szCs w:val="18"/>
              </w:rPr>
              <w:t>60,5%</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AE" w14:textId="77777777" w:rsidR="00573680" w:rsidRPr="00761055" w:rsidRDefault="00573680">
            <w:pPr>
              <w:jc w:val="right"/>
              <w:rPr>
                <w:rFonts w:cstheme="minorHAnsi"/>
                <w:color w:val="000000"/>
                <w:sz w:val="18"/>
                <w:szCs w:val="18"/>
              </w:rPr>
            </w:pPr>
            <w:r w:rsidRPr="00761055">
              <w:rPr>
                <w:rFonts w:cstheme="minorHAnsi"/>
                <w:color w:val="000000"/>
                <w:sz w:val="18"/>
                <w:szCs w:val="18"/>
              </w:rPr>
              <w:t>2,1%</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AF" w14:textId="77777777" w:rsidR="00573680" w:rsidRPr="00761055" w:rsidRDefault="00573680">
            <w:pPr>
              <w:jc w:val="right"/>
              <w:rPr>
                <w:rFonts w:cstheme="minorHAnsi"/>
                <w:color w:val="000000"/>
                <w:sz w:val="18"/>
                <w:szCs w:val="18"/>
              </w:rPr>
            </w:pPr>
            <w:r w:rsidRPr="00761055">
              <w:rPr>
                <w:rFonts w:cstheme="minorHAnsi"/>
                <w:color w:val="000000"/>
                <w:sz w:val="18"/>
                <w:szCs w:val="18"/>
              </w:rPr>
              <w:t>4,5%</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B0" w14:textId="77777777" w:rsidR="00573680" w:rsidRPr="00761055" w:rsidRDefault="00573680">
            <w:pPr>
              <w:jc w:val="right"/>
              <w:rPr>
                <w:rFonts w:cstheme="minorHAnsi"/>
                <w:color w:val="000000"/>
                <w:sz w:val="18"/>
                <w:szCs w:val="18"/>
              </w:rPr>
            </w:pPr>
            <w:r w:rsidRPr="00761055">
              <w:rPr>
                <w:rFonts w:cstheme="minorHAnsi"/>
                <w:color w:val="000000"/>
                <w:sz w:val="18"/>
                <w:szCs w:val="18"/>
              </w:rPr>
              <w:t>1,1%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B1" w14:textId="77777777" w:rsidR="00573680" w:rsidRPr="00761055" w:rsidRDefault="00573680">
            <w:pPr>
              <w:jc w:val="right"/>
              <w:rPr>
                <w:rFonts w:cstheme="minorHAnsi"/>
                <w:color w:val="000000"/>
                <w:sz w:val="18"/>
                <w:szCs w:val="18"/>
              </w:rPr>
            </w:pPr>
            <w:r w:rsidRPr="00761055">
              <w:rPr>
                <w:rFonts w:cstheme="minorHAnsi"/>
                <w:color w:val="000000"/>
                <w:sz w:val="18"/>
                <w:szCs w:val="18"/>
              </w:rPr>
              <w:t>1,0%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B2" w14:textId="77777777" w:rsidR="00573680" w:rsidRPr="00761055" w:rsidRDefault="00573680">
            <w:pPr>
              <w:jc w:val="right"/>
              <w:rPr>
                <w:rFonts w:cstheme="minorHAnsi"/>
                <w:color w:val="000000"/>
                <w:sz w:val="18"/>
                <w:szCs w:val="18"/>
              </w:rPr>
            </w:pPr>
            <w:r w:rsidRPr="00761055">
              <w:rPr>
                <w:rFonts w:cstheme="minorHAnsi"/>
                <w:color w:val="000000"/>
                <w:sz w:val="18"/>
                <w:szCs w:val="18"/>
              </w:rPr>
              <w:t>1,0%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B3" w14:textId="77777777" w:rsidR="00573680" w:rsidRPr="00761055" w:rsidRDefault="00573680">
            <w:pPr>
              <w:jc w:val="right"/>
              <w:rPr>
                <w:rFonts w:cstheme="minorHAnsi"/>
                <w:color w:val="000000"/>
                <w:sz w:val="18"/>
                <w:szCs w:val="18"/>
              </w:rPr>
            </w:pPr>
            <w:r w:rsidRPr="00761055">
              <w:rPr>
                <w:rFonts w:cstheme="minorHAnsi"/>
                <w:color w:val="000000"/>
                <w:sz w:val="18"/>
                <w:szCs w:val="18"/>
              </w:rPr>
              <w:t>1,0%</w:t>
            </w:r>
          </w:p>
        </w:tc>
      </w:tr>
      <w:tr w:rsidR="007A2E50" w:rsidRPr="00761055" w14:paraId="569F20C8" w14:textId="77777777" w:rsidTr="002F33BC">
        <w:trPr>
          <w:trHeight w:val="402"/>
        </w:trPr>
        <w:tc>
          <w:tcPr>
            <w:tcW w:w="2024" w:type="dxa"/>
            <w:tcBorders>
              <w:top w:val="nil"/>
              <w:left w:val="nil"/>
              <w:bottom w:val="nil"/>
              <w:right w:val="nil"/>
            </w:tcBorders>
            <w:shd w:val="clear" w:color="auto" w:fill="auto"/>
            <w:noWrap/>
            <w:vAlign w:val="bottom"/>
            <w:hideMark/>
          </w:tcPr>
          <w:p w14:paraId="569F20B5"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Nissewaard</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B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B7"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B8" w14:textId="77777777" w:rsidR="00573680" w:rsidRPr="00761055" w:rsidRDefault="00573680">
            <w:pPr>
              <w:jc w:val="right"/>
              <w:rPr>
                <w:rFonts w:cstheme="minorHAnsi"/>
                <w:color w:val="000000"/>
                <w:sz w:val="18"/>
                <w:szCs w:val="18"/>
              </w:rPr>
            </w:pPr>
            <w:r w:rsidRPr="00761055">
              <w:rPr>
                <w:rFonts w:cstheme="minorHAnsi"/>
                <w:color w:val="000000"/>
                <w:sz w:val="18"/>
                <w:szCs w:val="18"/>
              </w:rPr>
              <w:t>145,0%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B9"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B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BB" w14:textId="77777777" w:rsidR="00573680" w:rsidRPr="00761055" w:rsidRDefault="00573680">
            <w:pPr>
              <w:jc w:val="right"/>
              <w:rPr>
                <w:rFonts w:cstheme="minorHAnsi"/>
                <w:color w:val="000000"/>
                <w:sz w:val="18"/>
                <w:szCs w:val="18"/>
              </w:rPr>
            </w:pPr>
            <w:r w:rsidRPr="00761055">
              <w:rPr>
                <w:rFonts w:cstheme="minorHAnsi"/>
                <w:color w:val="000000"/>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BC"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B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BE" w14:textId="77777777" w:rsidR="00573680" w:rsidRPr="00761055" w:rsidRDefault="00573680">
            <w:pPr>
              <w:jc w:val="right"/>
              <w:rPr>
                <w:rFonts w:cstheme="minorHAnsi"/>
                <w:color w:val="000000"/>
                <w:sz w:val="18"/>
                <w:szCs w:val="18"/>
              </w:rPr>
            </w:pPr>
            <w:r w:rsidRPr="00761055">
              <w:rPr>
                <w:rFonts w:cstheme="minorHAnsi"/>
                <w:color w:val="000000"/>
                <w:sz w:val="18"/>
                <w:szCs w:val="18"/>
              </w:rPr>
              <w:t>14,2%</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BF"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C0"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C1" w14:textId="77777777" w:rsidR="00573680" w:rsidRPr="00761055" w:rsidRDefault="00573680">
            <w:pPr>
              <w:jc w:val="right"/>
              <w:rPr>
                <w:rFonts w:cstheme="minorHAnsi"/>
                <w:color w:val="000000"/>
                <w:sz w:val="18"/>
                <w:szCs w:val="18"/>
              </w:rPr>
            </w:pPr>
            <w:r w:rsidRPr="00761055">
              <w:rPr>
                <w:rFonts w:cstheme="minorHAnsi"/>
                <w:color w:val="000000"/>
                <w:sz w:val="18"/>
                <w:szCs w:val="18"/>
              </w:rPr>
              <w:t>67,6%</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C2"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C3"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C4" w14:textId="77777777" w:rsidR="00573680" w:rsidRPr="00761055" w:rsidRDefault="00573680">
            <w:pPr>
              <w:jc w:val="right"/>
              <w:rPr>
                <w:rFonts w:cstheme="minorHAnsi"/>
                <w:color w:val="000000"/>
                <w:sz w:val="18"/>
                <w:szCs w:val="18"/>
              </w:rPr>
            </w:pPr>
            <w:r w:rsidRPr="00761055">
              <w:rPr>
                <w:rFonts w:cstheme="minorHAnsi"/>
                <w:color w:val="000000"/>
                <w:sz w:val="18"/>
                <w:szCs w:val="18"/>
              </w:rPr>
              <w:t>1,4%</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C5"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C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C7" w14:textId="77777777" w:rsidR="00573680" w:rsidRPr="00761055" w:rsidRDefault="00573680">
            <w:pPr>
              <w:jc w:val="right"/>
              <w:rPr>
                <w:rFonts w:cstheme="minorHAnsi"/>
                <w:color w:val="000000"/>
                <w:sz w:val="18"/>
                <w:szCs w:val="18"/>
              </w:rPr>
            </w:pPr>
            <w:r w:rsidRPr="00761055">
              <w:rPr>
                <w:rFonts w:cstheme="minorHAnsi"/>
                <w:color w:val="000000"/>
                <w:sz w:val="18"/>
                <w:szCs w:val="18"/>
              </w:rPr>
              <w:t>95,0%</w:t>
            </w:r>
          </w:p>
        </w:tc>
      </w:tr>
      <w:tr w:rsidR="007A2E50" w:rsidRPr="00761055" w14:paraId="569F20DC" w14:textId="77777777" w:rsidTr="002F33BC">
        <w:trPr>
          <w:trHeight w:val="402"/>
        </w:trPr>
        <w:tc>
          <w:tcPr>
            <w:tcW w:w="2024" w:type="dxa"/>
            <w:tcBorders>
              <w:top w:val="nil"/>
              <w:left w:val="nil"/>
              <w:bottom w:val="nil"/>
              <w:right w:val="nil"/>
            </w:tcBorders>
            <w:shd w:val="clear" w:color="auto" w:fill="auto"/>
            <w:noWrap/>
            <w:vAlign w:val="bottom"/>
            <w:hideMark/>
          </w:tcPr>
          <w:p w14:paraId="569F20C9"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Noordwijk</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CA" w14:textId="77777777" w:rsidR="00573680" w:rsidRPr="00761055" w:rsidRDefault="00573680">
            <w:pPr>
              <w:jc w:val="right"/>
              <w:rPr>
                <w:rFonts w:cstheme="minorHAnsi"/>
                <w:color w:val="000000"/>
                <w:sz w:val="18"/>
                <w:szCs w:val="18"/>
              </w:rPr>
            </w:pPr>
            <w:r w:rsidRPr="00761055">
              <w:rPr>
                <w:rFonts w:cstheme="minorHAnsi"/>
                <w:color w:val="000000"/>
                <w:sz w:val="18"/>
                <w:szCs w:val="18"/>
              </w:rPr>
              <w:t>44,5%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CB" w14:textId="77777777" w:rsidR="00573680" w:rsidRPr="00761055" w:rsidRDefault="00573680">
            <w:pPr>
              <w:jc w:val="right"/>
              <w:rPr>
                <w:rFonts w:cstheme="minorHAnsi"/>
                <w:color w:val="000000"/>
                <w:sz w:val="18"/>
                <w:szCs w:val="18"/>
              </w:rPr>
            </w:pPr>
            <w:r w:rsidRPr="00761055">
              <w:rPr>
                <w:rFonts w:cstheme="minorHAnsi"/>
                <w:color w:val="000000"/>
                <w:sz w:val="18"/>
                <w:szCs w:val="18"/>
              </w:rPr>
              <w:t>51,5%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CC" w14:textId="77777777" w:rsidR="00573680" w:rsidRPr="00761055" w:rsidRDefault="00573680">
            <w:pPr>
              <w:jc w:val="right"/>
              <w:rPr>
                <w:rFonts w:cstheme="minorHAnsi"/>
                <w:color w:val="000000"/>
                <w:sz w:val="18"/>
                <w:szCs w:val="18"/>
              </w:rPr>
            </w:pPr>
            <w:r w:rsidRPr="00761055">
              <w:rPr>
                <w:rFonts w:cstheme="minorHAnsi"/>
                <w:color w:val="000000"/>
                <w:sz w:val="18"/>
                <w:szCs w:val="18"/>
              </w:rPr>
              <w:t>50,6%</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CD" w14:textId="77777777" w:rsidR="00573680" w:rsidRPr="00761055" w:rsidRDefault="00573680">
            <w:pPr>
              <w:jc w:val="right"/>
              <w:rPr>
                <w:rFonts w:cstheme="minorHAnsi"/>
                <w:color w:val="000000"/>
                <w:sz w:val="18"/>
                <w:szCs w:val="18"/>
              </w:rPr>
            </w:pPr>
            <w:r w:rsidRPr="00761055">
              <w:rPr>
                <w:rFonts w:cstheme="minorHAnsi"/>
                <w:color w:val="000000"/>
                <w:sz w:val="18"/>
                <w:szCs w:val="18"/>
              </w:rPr>
              <w:t>100,9%</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CE" w14:textId="77777777" w:rsidR="00573680" w:rsidRPr="00761055" w:rsidRDefault="00573680">
            <w:pPr>
              <w:jc w:val="right"/>
              <w:rPr>
                <w:rFonts w:cstheme="minorHAnsi"/>
                <w:color w:val="000000"/>
                <w:sz w:val="18"/>
                <w:szCs w:val="18"/>
              </w:rPr>
            </w:pPr>
            <w:r w:rsidRPr="00761055">
              <w:rPr>
                <w:rFonts w:cstheme="minorHAnsi"/>
                <w:color w:val="000000"/>
                <w:sz w:val="18"/>
                <w:szCs w:val="18"/>
              </w:rPr>
              <w:t>90,3%</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CF" w14:textId="77777777" w:rsidR="00573680" w:rsidRPr="00761055" w:rsidRDefault="00573680">
            <w:pPr>
              <w:jc w:val="right"/>
              <w:rPr>
                <w:rFonts w:cstheme="minorHAnsi"/>
                <w:color w:val="000000"/>
                <w:sz w:val="18"/>
                <w:szCs w:val="18"/>
              </w:rPr>
            </w:pPr>
            <w:r w:rsidRPr="00761055">
              <w:rPr>
                <w:rFonts w:cstheme="minorHAnsi"/>
                <w:color w:val="000000"/>
                <w:sz w:val="18"/>
                <w:szCs w:val="18"/>
              </w:rPr>
              <w:t>90,5%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D0" w14:textId="77777777" w:rsidR="00573680" w:rsidRPr="00761055" w:rsidRDefault="00573680">
            <w:pPr>
              <w:jc w:val="right"/>
              <w:rPr>
                <w:rFonts w:cstheme="minorHAnsi"/>
                <w:color w:val="000000"/>
                <w:sz w:val="18"/>
                <w:szCs w:val="18"/>
              </w:rPr>
            </w:pPr>
            <w:r w:rsidRPr="00761055">
              <w:rPr>
                <w:rFonts w:cstheme="minorHAnsi"/>
                <w:color w:val="000000"/>
                <w:sz w:val="18"/>
                <w:szCs w:val="18"/>
              </w:rPr>
              <w:t>51,0%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D1" w14:textId="77777777" w:rsidR="00573680" w:rsidRPr="00761055" w:rsidRDefault="00573680">
            <w:pPr>
              <w:jc w:val="right"/>
              <w:rPr>
                <w:rFonts w:cstheme="minorHAnsi"/>
                <w:color w:val="000000"/>
                <w:sz w:val="18"/>
                <w:szCs w:val="18"/>
              </w:rPr>
            </w:pPr>
            <w:r w:rsidRPr="00761055">
              <w:rPr>
                <w:rFonts w:cstheme="minorHAnsi"/>
                <w:color w:val="000000"/>
                <w:sz w:val="18"/>
                <w:szCs w:val="18"/>
              </w:rPr>
              <w:t>51,2%</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D2" w14:textId="77777777" w:rsidR="00573680" w:rsidRPr="00761055" w:rsidRDefault="00573680">
            <w:pPr>
              <w:jc w:val="right"/>
              <w:rPr>
                <w:rFonts w:cstheme="minorHAnsi"/>
                <w:color w:val="000000"/>
                <w:sz w:val="18"/>
                <w:szCs w:val="18"/>
              </w:rPr>
            </w:pPr>
            <w:r w:rsidRPr="00761055">
              <w:rPr>
                <w:rFonts w:cstheme="minorHAnsi"/>
                <w:color w:val="000000"/>
                <w:sz w:val="18"/>
                <w:szCs w:val="18"/>
              </w:rPr>
              <w:t>51,1%</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D3" w14:textId="77777777" w:rsidR="00573680" w:rsidRPr="00761055" w:rsidRDefault="00573680">
            <w:pPr>
              <w:jc w:val="right"/>
              <w:rPr>
                <w:rFonts w:cstheme="minorHAnsi"/>
                <w:color w:val="000000"/>
                <w:sz w:val="18"/>
                <w:szCs w:val="18"/>
              </w:rPr>
            </w:pPr>
            <w:r w:rsidRPr="00761055">
              <w:rPr>
                <w:rFonts w:cstheme="minorHAnsi"/>
                <w:color w:val="000000"/>
                <w:sz w:val="18"/>
                <w:szCs w:val="18"/>
              </w:rPr>
              <w:t>85,5%</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D4" w14:textId="77777777" w:rsidR="00573680" w:rsidRPr="00761055" w:rsidRDefault="00573680">
            <w:pPr>
              <w:jc w:val="right"/>
              <w:rPr>
                <w:rFonts w:cstheme="minorHAnsi"/>
                <w:color w:val="000000"/>
                <w:sz w:val="18"/>
                <w:szCs w:val="18"/>
              </w:rPr>
            </w:pPr>
            <w:r w:rsidRPr="00761055">
              <w:rPr>
                <w:rFonts w:cstheme="minorHAnsi"/>
                <w:color w:val="000000"/>
                <w:sz w:val="18"/>
                <w:szCs w:val="18"/>
              </w:rPr>
              <w:t>103,5%</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D5" w14:textId="77777777" w:rsidR="00573680" w:rsidRPr="00761055" w:rsidRDefault="00573680">
            <w:pPr>
              <w:jc w:val="right"/>
              <w:rPr>
                <w:rFonts w:cstheme="minorHAnsi"/>
                <w:color w:val="000000"/>
                <w:sz w:val="18"/>
                <w:szCs w:val="18"/>
              </w:rPr>
            </w:pPr>
            <w:r w:rsidRPr="00761055">
              <w:rPr>
                <w:rFonts w:cstheme="minorHAnsi"/>
                <w:color w:val="000000"/>
                <w:sz w:val="18"/>
                <w:szCs w:val="18"/>
              </w:rPr>
              <w:t>65,4%</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D6" w14:textId="77777777" w:rsidR="00573680" w:rsidRPr="00761055" w:rsidRDefault="00573680">
            <w:pPr>
              <w:jc w:val="right"/>
              <w:rPr>
                <w:rFonts w:cstheme="minorHAnsi"/>
                <w:color w:val="000000"/>
                <w:sz w:val="18"/>
                <w:szCs w:val="18"/>
              </w:rPr>
            </w:pPr>
            <w:r w:rsidRPr="00761055">
              <w:rPr>
                <w:rFonts w:cstheme="minorHAnsi"/>
                <w:color w:val="000000"/>
                <w:sz w:val="18"/>
                <w:szCs w:val="18"/>
              </w:rPr>
              <w:t>0,4%</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D7"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D8" w14:textId="77777777" w:rsidR="00573680" w:rsidRPr="00761055" w:rsidRDefault="00573680">
            <w:pPr>
              <w:jc w:val="right"/>
              <w:rPr>
                <w:rFonts w:cstheme="minorHAnsi"/>
                <w:color w:val="000000"/>
                <w:sz w:val="18"/>
                <w:szCs w:val="18"/>
              </w:rPr>
            </w:pPr>
            <w:r w:rsidRPr="00761055">
              <w:rPr>
                <w:rFonts w:cstheme="minorHAnsi"/>
                <w:color w:val="000000"/>
                <w:sz w:val="18"/>
                <w:szCs w:val="18"/>
              </w:rPr>
              <w:t>0,2%</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D9" w14:textId="77777777" w:rsidR="00573680" w:rsidRPr="00761055" w:rsidRDefault="00573680">
            <w:pPr>
              <w:jc w:val="right"/>
              <w:rPr>
                <w:rFonts w:cstheme="minorHAnsi"/>
                <w:color w:val="000000"/>
                <w:sz w:val="18"/>
                <w:szCs w:val="18"/>
              </w:rPr>
            </w:pPr>
            <w:r w:rsidRPr="00761055">
              <w:rPr>
                <w:rFonts w:cstheme="minorHAnsi"/>
                <w:color w:val="000000"/>
                <w:sz w:val="18"/>
                <w:szCs w:val="18"/>
              </w:rPr>
              <w:t>115,2%</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DA" w14:textId="77777777" w:rsidR="00573680" w:rsidRPr="00761055" w:rsidRDefault="00573680">
            <w:pPr>
              <w:jc w:val="right"/>
              <w:rPr>
                <w:rFonts w:cstheme="minorHAnsi"/>
                <w:color w:val="000000"/>
                <w:sz w:val="18"/>
                <w:szCs w:val="18"/>
              </w:rPr>
            </w:pPr>
            <w:r w:rsidRPr="00761055">
              <w:rPr>
                <w:rFonts w:cstheme="minorHAnsi"/>
                <w:color w:val="000000"/>
                <w:sz w:val="18"/>
                <w:szCs w:val="18"/>
              </w:rPr>
              <w:t>115,1%</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DB" w14:textId="77777777" w:rsidR="00573680" w:rsidRPr="00761055" w:rsidRDefault="00573680">
            <w:pPr>
              <w:jc w:val="right"/>
              <w:rPr>
                <w:rFonts w:cstheme="minorHAnsi"/>
                <w:color w:val="000000"/>
                <w:sz w:val="18"/>
                <w:szCs w:val="18"/>
              </w:rPr>
            </w:pPr>
            <w:r w:rsidRPr="00761055">
              <w:rPr>
                <w:rFonts w:cstheme="minorHAnsi"/>
                <w:color w:val="000000"/>
                <w:sz w:val="18"/>
                <w:szCs w:val="18"/>
              </w:rPr>
              <w:t>108,2%</w:t>
            </w:r>
          </w:p>
        </w:tc>
      </w:tr>
      <w:tr w:rsidR="007A2E50" w:rsidRPr="00761055" w14:paraId="569F20F0" w14:textId="77777777" w:rsidTr="002F33BC">
        <w:trPr>
          <w:trHeight w:val="402"/>
        </w:trPr>
        <w:tc>
          <w:tcPr>
            <w:tcW w:w="2024" w:type="dxa"/>
            <w:tcBorders>
              <w:top w:val="nil"/>
              <w:left w:val="nil"/>
              <w:bottom w:val="nil"/>
              <w:right w:val="nil"/>
            </w:tcBorders>
            <w:shd w:val="clear" w:color="auto" w:fill="auto"/>
            <w:noWrap/>
            <w:vAlign w:val="bottom"/>
            <w:hideMark/>
          </w:tcPr>
          <w:p w14:paraId="569F20DD"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Noordwijkerhout</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DE"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DF" w14:textId="77777777" w:rsidR="00573680" w:rsidRPr="00761055" w:rsidRDefault="00573680">
            <w:pPr>
              <w:jc w:val="right"/>
              <w:rPr>
                <w:rFonts w:cstheme="minorHAnsi"/>
                <w:color w:val="000000"/>
                <w:sz w:val="18"/>
                <w:szCs w:val="18"/>
              </w:rPr>
            </w:pPr>
            <w:r w:rsidRPr="00761055">
              <w:rPr>
                <w:rFonts w:cstheme="minorHAnsi"/>
                <w:color w:val="000000"/>
                <w:sz w:val="18"/>
                <w:szCs w:val="18"/>
              </w:rPr>
              <w:t>110,0%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E0" w14:textId="77777777" w:rsidR="00573680" w:rsidRPr="00761055" w:rsidRDefault="00573680">
            <w:pPr>
              <w:jc w:val="right"/>
              <w:rPr>
                <w:rFonts w:cstheme="minorHAnsi"/>
                <w:color w:val="000000"/>
                <w:sz w:val="18"/>
                <w:szCs w:val="18"/>
              </w:rPr>
            </w:pPr>
            <w:r w:rsidRPr="00761055">
              <w:rPr>
                <w:rFonts w:cstheme="minorHAnsi"/>
                <w:color w:val="000000"/>
                <w:sz w:val="18"/>
                <w:szCs w:val="18"/>
              </w:rPr>
              <w:t>109,0%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E1"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E2" w14:textId="77777777" w:rsidR="00573680" w:rsidRPr="00761055" w:rsidRDefault="00573680">
            <w:pPr>
              <w:jc w:val="right"/>
              <w:rPr>
                <w:rFonts w:cstheme="minorHAnsi"/>
                <w:color w:val="000000"/>
                <w:sz w:val="18"/>
                <w:szCs w:val="18"/>
              </w:rPr>
            </w:pPr>
            <w:r w:rsidRPr="00761055">
              <w:rPr>
                <w:rFonts w:cstheme="minorHAnsi"/>
                <w:color w:val="000000"/>
                <w:sz w:val="18"/>
                <w:szCs w:val="18"/>
              </w:rPr>
              <w:t>88,0%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E3" w14:textId="77777777" w:rsidR="00573680" w:rsidRPr="00761055" w:rsidRDefault="00573680">
            <w:pPr>
              <w:jc w:val="right"/>
              <w:rPr>
                <w:rFonts w:cstheme="minorHAnsi"/>
                <w:color w:val="000000"/>
                <w:sz w:val="18"/>
                <w:szCs w:val="18"/>
              </w:rPr>
            </w:pPr>
            <w:r w:rsidRPr="00761055">
              <w:rPr>
                <w:rFonts w:cstheme="minorHAnsi"/>
                <w:color w:val="000000"/>
                <w:sz w:val="18"/>
                <w:szCs w:val="18"/>
              </w:rPr>
              <w:t>87,0%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E4"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E5" w14:textId="77777777" w:rsidR="00573680" w:rsidRPr="00761055" w:rsidRDefault="00573680">
            <w:pPr>
              <w:jc w:val="right"/>
              <w:rPr>
                <w:rFonts w:cstheme="minorHAnsi"/>
                <w:color w:val="000000"/>
                <w:sz w:val="18"/>
                <w:szCs w:val="18"/>
              </w:rPr>
            </w:pPr>
            <w:r w:rsidRPr="00761055">
              <w:rPr>
                <w:rFonts w:cstheme="minorHAnsi"/>
                <w:color w:val="000000"/>
                <w:sz w:val="18"/>
                <w:szCs w:val="18"/>
              </w:rPr>
              <w:t>33,0%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E6" w14:textId="77777777" w:rsidR="00573680" w:rsidRPr="00761055" w:rsidRDefault="00573680">
            <w:pPr>
              <w:jc w:val="right"/>
              <w:rPr>
                <w:rFonts w:cstheme="minorHAnsi"/>
                <w:color w:val="000000"/>
                <w:sz w:val="18"/>
                <w:szCs w:val="18"/>
              </w:rPr>
            </w:pPr>
            <w:r w:rsidRPr="00761055">
              <w:rPr>
                <w:rFonts w:cstheme="minorHAnsi"/>
                <w:color w:val="000000"/>
                <w:sz w:val="18"/>
                <w:szCs w:val="18"/>
              </w:rPr>
              <w:t>33,0%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E7"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E8" w14:textId="77777777" w:rsidR="00573680" w:rsidRPr="00761055" w:rsidRDefault="00573680">
            <w:pPr>
              <w:jc w:val="right"/>
              <w:rPr>
                <w:rFonts w:cstheme="minorHAnsi"/>
                <w:color w:val="000000"/>
                <w:sz w:val="18"/>
                <w:szCs w:val="18"/>
              </w:rPr>
            </w:pPr>
            <w:r w:rsidRPr="00761055">
              <w:rPr>
                <w:rFonts w:cstheme="minorHAnsi"/>
                <w:color w:val="000000"/>
                <w:sz w:val="18"/>
                <w:szCs w:val="18"/>
              </w:rPr>
              <w:t>13,0%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E9" w14:textId="77777777" w:rsidR="00573680" w:rsidRPr="00761055" w:rsidRDefault="00573680">
            <w:pPr>
              <w:jc w:val="right"/>
              <w:rPr>
                <w:rFonts w:cstheme="minorHAnsi"/>
                <w:color w:val="000000"/>
                <w:sz w:val="18"/>
                <w:szCs w:val="18"/>
              </w:rPr>
            </w:pPr>
            <w:r w:rsidRPr="00761055">
              <w:rPr>
                <w:rFonts w:cstheme="minorHAnsi"/>
                <w:color w:val="000000"/>
                <w:sz w:val="18"/>
                <w:szCs w:val="18"/>
              </w:rPr>
              <w:t>9,0%</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E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EB" w14:textId="77777777" w:rsidR="00573680" w:rsidRPr="00761055" w:rsidRDefault="00573680">
            <w:pPr>
              <w:jc w:val="right"/>
              <w:rPr>
                <w:rFonts w:cstheme="minorHAnsi"/>
                <w:color w:val="000000"/>
                <w:sz w:val="18"/>
                <w:szCs w:val="18"/>
              </w:rPr>
            </w:pPr>
            <w:r w:rsidRPr="00761055">
              <w:rPr>
                <w:rFonts w:cstheme="minorHAnsi"/>
                <w:color w:val="000000"/>
                <w:sz w:val="18"/>
                <w:szCs w:val="18"/>
              </w:rPr>
              <w:t>3,0%</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EC" w14:textId="77777777" w:rsidR="00573680" w:rsidRPr="00761055" w:rsidRDefault="00573680">
            <w:pPr>
              <w:jc w:val="right"/>
              <w:rPr>
                <w:rFonts w:cstheme="minorHAnsi"/>
                <w:color w:val="000000"/>
                <w:sz w:val="18"/>
                <w:szCs w:val="18"/>
              </w:rPr>
            </w:pPr>
            <w:r w:rsidRPr="00761055">
              <w:rPr>
                <w:rFonts w:cstheme="minorHAnsi"/>
                <w:color w:val="000000"/>
                <w:sz w:val="18"/>
                <w:szCs w:val="18"/>
              </w:rPr>
              <w:t>2,0%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0E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EE" w14:textId="77777777" w:rsidR="00573680" w:rsidRPr="00761055" w:rsidRDefault="00573680">
            <w:pPr>
              <w:jc w:val="right"/>
              <w:rPr>
                <w:rFonts w:cstheme="minorHAnsi"/>
                <w:color w:val="000000"/>
                <w:sz w:val="18"/>
                <w:szCs w:val="18"/>
              </w:rPr>
            </w:pPr>
            <w:r w:rsidRPr="00761055">
              <w:rPr>
                <w:rFonts w:cstheme="minorHAnsi"/>
                <w:color w:val="000000"/>
                <w:sz w:val="18"/>
                <w:szCs w:val="18"/>
              </w:rPr>
              <w:t>116,0%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EF" w14:textId="77777777" w:rsidR="00573680" w:rsidRPr="00761055" w:rsidRDefault="00573680">
            <w:pPr>
              <w:jc w:val="right"/>
              <w:rPr>
                <w:rFonts w:cstheme="minorHAnsi"/>
                <w:color w:val="000000"/>
                <w:sz w:val="18"/>
                <w:szCs w:val="18"/>
              </w:rPr>
            </w:pPr>
            <w:r w:rsidRPr="00761055">
              <w:rPr>
                <w:rFonts w:cstheme="minorHAnsi"/>
                <w:color w:val="000000"/>
                <w:sz w:val="18"/>
                <w:szCs w:val="18"/>
              </w:rPr>
              <w:t>111,0%</w:t>
            </w:r>
          </w:p>
        </w:tc>
      </w:tr>
      <w:tr w:rsidR="007A2E50" w:rsidRPr="00761055" w14:paraId="569F2104" w14:textId="77777777" w:rsidTr="002F33BC">
        <w:trPr>
          <w:trHeight w:val="402"/>
        </w:trPr>
        <w:tc>
          <w:tcPr>
            <w:tcW w:w="2024" w:type="dxa"/>
            <w:tcBorders>
              <w:top w:val="nil"/>
              <w:left w:val="nil"/>
              <w:bottom w:val="nil"/>
              <w:right w:val="nil"/>
            </w:tcBorders>
            <w:shd w:val="clear" w:color="auto" w:fill="auto"/>
            <w:noWrap/>
            <w:vAlign w:val="bottom"/>
            <w:hideMark/>
          </w:tcPr>
          <w:p w14:paraId="569F20F1"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Oegstgeest</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2" w14:textId="77777777" w:rsidR="00573680" w:rsidRPr="00761055" w:rsidRDefault="00573680">
            <w:pPr>
              <w:jc w:val="right"/>
              <w:rPr>
                <w:rFonts w:cstheme="minorHAnsi"/>
                <w:color w:val="000000"/>
                <w:sz w:val="18"/>
                <w:szCs w:val="18"/>
              </w:rPr>
            </w:pPr>
            <w:r w:rsidRPr="00761055">
              <w:rPr>
                <w:rFonts w:cstheme="minorHAnsi"/>
                <w:color w:val="000000"/>
                <w:sz w:val="18"/>
                <w:szCs w:val="18"/>
              </w:rPr>
              <w:t>177,1%</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3" w14:textId="77777777" w:rsidR="00573680" w:rsidRPr="00761055" w:rsidRDefault="00573680">
            <w:pPr>
              <w:jc w:val="right"/>
              <w:rPr>
                <w:rFonts w:cstheme="minorHAnsi"/>
                <w:color w:val="000000"/>
                <w:sz w:val="18"/>
                <w:szCs w:val="18"/>
              </w:rPr>
            </w:pPr>
            <w:r w:rsidRPr="00761055">
              <w:rPr>
                <w:rFonts w:cstheme="minorHAnsi"/>
                <w:color w:val="000000"/>
                <w:sz w:val="18"/>
                <w:szCs w:val="18"/>
              </w:rPr>
              <w:t>152,7%</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4" w14:textId="77777777" w:rsidR="00573680" w:rsidRPr="00761055" w:rsidRDefault="00573680">
            <w:pPr>
              <w:jc w:val="right"/>
              <w:rPr>
                <w:rFonts w:cstheme="minorHAnsi"/>
                <w:color w:val="000000"/>
                <w:sz w:val="18"/>
                <w:szCs w:val="18"/>
              </w:rPr>
            </w:pPr>
            <w:r w:rsidRPr="00761055">
              <w:rPr>
                <w:rFonts w:cstheme="minorHAnsi"/>
                <w:color w:val="000000"/>
                <w:sz w:val="18"/>
                <w:szCs w:val="18"/>
              </w:rPr>
              <w:t>137,1%</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5" w14:textId="77777777" w:rsidR="00573680" w:rsidRPr="00761055" w:rsidRDefault="00573680">
            <w:pPr>
              <w:jc w:val="right"/>
              <w:rPr>
                <w:rFonts w:cstheme="minorHAnsi"/>
                <w:color w:val="000000"/>
                <w:sz w:val="18"/>
                <w:szCs w:val="18"/>
              </w:rPr>
            </w:pPr>
            <w:r w:rsidRPr="00761055">
              <w:rPr>
                <w:rFonts w:cstheme="minorHAnsi"/>
                <w:color w:val="000000"/>
                <w:sz w:val="18"/>
                <w:szCs w:val="18"/>
              </w:rPr>
              <w:t>174,7%</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6" w14:textId="77777777" w:rsidR="00573680" w:rsidRPr="00761055" w:rsidRDefault="00573680">
            <w:pPr>
              <w:jc w:val="right"/>
              <w:rPr>
                <w:rFonts w:cstheme="minorHAnsi"/>
                <w:color w:val="000000"/>
                <w:sz w:val="18"/>
                <w:szCs w:val="18"/>
              </w:rPr>
            </w:pPr>
            <w:r w:rsidRPr="00761055">
              <w:rPr>
                <w:rFonts w:cstheme="minorHAnsi"/>
                <w:color w:val="000000"/>
                <w:sz w:val="18"/>
                <w:szCs w:val="18"/>
              </w:rPr>
              <w:t>150,7%</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7" w14:textId="77777777" w:rsidR="00573680" w:rsidRPr="00761055" w:rsidRDefault="00573680">
            <w:pPr>
              <w:jc w:val="right"/>
              <w:rPr>
                <w:rFonts w:cstheme="minorHAnsi"/>
                <w:color w:val="000000"/>
                <w:sz w:val="18"/>
                <w:szCs w:val="18"/>
              </w:rPr>
            </w:pPr>
            <w:r w:rsidRPr="00761055">
              <w:rPr>
                <w:rFonts w:cstheme="minorHAnsi"/>
                <w:color w:val="000000"/>
                <w:sz w:val="18"/>
                <w:szCs w:val="18"/>
              </w:rPr>
              <w:t>135,1%</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0F8" w14:textId="77777777" w:rsidR="00573680" w:rsidRPr="00761055" w:rsidRDefault="00573680">
            <w:pPr>
              <w:jc w:val="right"/>
              <w:rPr>
                <w:rFonts w:cstheme="minorHAnsi"/>
                <w:color w:val="000000"/>
                <w:sz w:val="18"/>
                <w:szCs w:val="18"/>
              </w:rPr>
            </w:pPr>
            <w:r w:rsidRPr="00761055">
              <w:rPr>
                <w:rFonts w:cstheme="minorHAnsi"/>
                <w:color w:val="000000"/>
                <w:sz w:val="18"/>
                <w:szCs w:val="18"/>
              </w:rPr>
              <w:t>20,5%</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9" w14:textId="77777777" w:rsidR="00573680" w:rsidRPr="00761055" w:rsidRDefault="00573680">
            <w:pPr>
              <w:jc w:val="right"/>
              <w:rPr>
                <w:rFonts w:cstheme="minorHAnsi"/>
                <w:color w:val="000000"/>
                <w:sz w:val="18"/>
                <w:szCs w:val="18"/>
              </w:rPr>
            </w:pPr>
            <w:r w:rsidRPr="00761055">
              <w:rPr>
                <w:rFonts w:cstheme="minorHAnsi"/>
                <w:color w:val="000000"/>
                <w:sz w:val="18"/>
                <w:szCs w:val="18"/>
              </w:rPr>
              <w:t>17,5%</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A" w14:textId="77777777" w:rsidR="00573680" w:rsidRPr="00761055" w:rsidRDefault="00573680">
            <w:pPr>
              <w:jc w:val="right"/>
              <w:rPr>
                <w:rFonts w:cstheme="minorHAnsi"/>
                <w:color w:val="000000"/>
                <w:sz w:val="18"/>
                <w:szCs w:val="18"/>
              </w:rPr>
            </w:pPr>
            <w:r w:rsidRPr="00761055">
              <w:rPr>
                <w:rFonts w:cstheme="minorHAnsi"/>
                <w:color w:val="000000"/>
                <w:sz w:val="18"/>
                <w:szCs w:val="18"/>
              </w:rPr>
              <w:t>18,3%</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B" w14:textId="77777777" w:rsidR="00573680" w:rsidRPr="00761055" w:rsidRDefault="00573680">
            <w:pPr>
              <w:jc w:val="right"/>
              <w:rPr>
                <w:rFonts w:cstheme="minorHAnsi"/>
                <w:color w:val="000000"/>
                <w:sz w:val="18"/>
                <w:szCs w:val="18"/>
              </w:rPr>
            </w:pPr>
            <w:r w:rsidRPr="00761055">
              <w:rPr>
                <w:rFonts w:cstheme="minorHAnsi"/>
                <w:color w:val="000000"/>
                <w:sz w:val="18"/>
                <w:szCs w:val="18"/>
              </w:rPr>
              <w:t>92,6%</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C" w14:textId="77777777" w:rsidR="00573680" w:rsidRPr="00761055" w:rsidRDefault="00573680">
            <w:pPr>
              <w:jc w:val="right"/>
              <w:rPr>
                <w:rFonts w:cstheme="minorHAnsi"/>
                <w:color w:val="000000"/>
                <w:sz w:val="18"/>
                <w:szCs w:val="18"/>
              </w:rPr>
            </w:pPr>
            <w:r w:rsidRPr="00761055">
              <w:rPr>
                <w:rFonts w:cstheme="minorHAnsi"/>
                <w:color w:val="000000"/>
                <w:sz w:val="18"/>
                <w:szCs w:val="18"/>
              </w:rPr>
              <w:t>81,6%</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0FD" w14:textId="77777777" w:rsidR="00573680" w:rsidRPr="00761055" w:rsidRDefault="00573680">
            <w:pPr>
              <w:jc w:val="right"/>
              <w:rPr>
                <w:rFonts w:cstheme="minorHAnsi"/>
                <w:color w:val="000000"/>
                <w:sz w:val="18"/>
                <w:szCs w:val="18"/>
              </w:rPr>
            </w:pPr>
            <w:r w:rsidRPr="00761055">
              <w:rPr>
                <w:rFonts w:cstheme="minorHAnsi"/>
                <w:color w:val="000000"/>
                <w:sz w:val="18"/>
                <w:szCs w:val="18"/>
              </w:rPr>
              <w:t>59,6%</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FE" w14:textId="77777777" w:rsidR="00573680" w:rsidRPr="00761055" w:rsidRDefault="00573680">
            <w:pPr>
              <w:jc w:val="right"/>
              <w:rPr>
                <w:rFonts w:cstheme="minorHAnsi"/>
                <w:color w:val="000000"/>
                <w:sz w:val="18"/>
                <w:szCs w:val="18"/>
              </w:rPr>
            </w:pPr>
            <w:r w:rsidRPr="00761055">
              <w:rPr>
                <w:rFonts w:cstheme="minorHAnsi"/>
                <w:color w:val="000000"/>
                <w:sz w:val="18"/>
                <w:szCs w:val="18"/>
              </w:rPr>
              <w:t>1,9%</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0FF" w14:textId="77777777" w:rsidR="00573680" w:rsidRPr="00761055" w:rsidRDefault="00573680">
            <w:pPr>
              <w:jc w:val="right"/>
              <w:rPr>
                <w:rFonts w:cstheme="minorHAnsi"/>
                <w:color w:val="000000"/>
                <w:sz w:val="18"/>
                <w:szCs w:val="18"/>
              </w:rPr>
            </w:pPr>
            <w:r w:rsidRPr="00761055">
              <w:rPr>
                <w:rFonts w:cstheme="minorHAnsi"/>
                <w:color w:val="000000"/>
                <w:sz w:val="18"/>
                <w:szCs w:val="18"/>
              </w:rPr>
              <w:t>1,0%</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00" w14:textId="77777777" w:rsidR="00573680" w:rsidRPr="00761055" w:rsidRDefault="00573680">
            <w:pPr>
              <w:jc w:val="right"/>
              <w:rPr>
                <w:rFonts w:cstheme="minorHAnsi"/>
                <w:color w:val="000000"/>
                <w:sz w:val="18"/>
                <w:szCs w:val="18"/>
              </w:rPr>
            </w:pPr>
            <w:r w:rsidRPr="00761055">
              <w:rPr>
                <w:rFonts w:cstheme="minorHAnsi"/>
                <w:color w:val="000000"/>
                <w:sz w:val="18"/>
                <w:szCs w:val="18"/>
              </w:rPr>
              <w:t>1,9%</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01" w14:textId="77777777" w:rsidR="00573680" w:rsidRPr="00761055" w:rsidRDefault="00573680">
            <w:pPr>
              <w:jc w:val="right"/>
              <w:rPr>
                <w:rFonts w:cstheme="minorHAnsi"/>
                <w:color w:val="000000"/>
                <w:sz w:val="18"/>
                <w:szCs w:val="18"/>
              </w:rPr>
            </w:pPr>
            <w:r w:rsidRPr="00761055">
              <w:rPr>
                <w:rFonts w:cstheme="minorHAnsi"/>
                <w:color w:val="000000"/>
                <w:sz w:val="18"/>
                <w:szCs w:val="18"/>
              </w:rPr>
              <w:t>109,3%</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02" w14:textId="77777777" w:rsidR="00573680" w:rsidRPr="00761055" w:rsidRDefault="00573680">
            <w:pPr>
              <w:jc w:val="right"/>
              <w:rPr>
                <w:rFonts w:cstheme="minorHAnsi"/>
                <w:color w:val="000000"/>
                <w:sz w:val="18"/>
                <w:szCs w:val="18"/>
              </w:rPr>
            </w:pPr>
            <w:r w:rsidRPr="00761055">
              <w:rPr>
                <w:rFonts w:cstheme="minorHAnsi"/>
                <w:color w:val="000000"/>
                <w:sz w:val="18"/>
                <w:szCs w:val="18"/>
              </w:rPr>
              <w:t>118,3%</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03" w14:textId="77777777" w:rsidR="00573680" w:rsidRPr="00761055" w:rsidRDefault="00573680">
            <w:pPr>
              <w:jc w:val="right"/>
              <w:rPr>
                <w:rFonts w:cstheme="minorHAnsi"/>
                <w:color w:val="000000"/>
                <w:sz w:val="18"/>
                <w:szCs w:val="18"/>
              </w:rPr>
            </w:pPr>
            <w:r w:rsidRPr="00761055">
              <w:rPr>
                <w:rFonts w:cstheme="minorHAnsi"/>
                <w:color w:val="000000"/>
                <w:sz w:val="18"/>
                <w:szCs w:val="18"/>
              </w:rPr>
              <w:t>117,2%</w:t>
            </w:r>
          </w:p>
        </w:tc>
      </w:tr>
      <w:tr w:rsidR="007A2E50" w:rsidRPr="00761055" w14:paraId="569F2118" w14:textId="77777777" w:rsidTr="002F33BC">
        <w:trPr>
          <w:trHeight w:val="402"/>
        </w:trPr>
        <w:tc>
          <w:tcPr>
            <w:tcW w:w="2024" w:type="dxa"/>
            <w:tcBorders>
              <w:top w:val="nil"/>
              <w:left w:val="nil"/>
              <w:bottom w:val="nil"/>
              <w:right w:val="nil"/>
            </w:tcBorders>
            <w:shd w:val="clear" w:color="auto" w:fill="auto"/>
            <w:noWrap/>
            <w:vAlign w:val="bottom"/>
            <w:hideMark/>
          </w:tcPr>
          <w:p w14:paraId="569F2105"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Oud-Beijerland</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0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07"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08" w14:textId="77777777" w:rsidR="00573680" w:rsidRPr="00761055" w:rsidRDefault="00573680">
            <w:pPr>
              <w:jc w:val="right"/>
              <w:rPr>
                <w:rFonts w:cstheme="minorHAnsi"/>
                <w:color w:val="000000"/>
                <w:sz w:val="18"/>
                <w:szCs w:val="18"/>
              </w:rPr>
            </w:pPr>
            <w:r w:rsidRPr="00761055">
              <w:rPr>
                <w:rFonts w:cstheme="minorHAnsi"/>
                <w:color w:val="000000"/>
                <w:sz w:val="18"/>
                <w:szCs w:val="18"/>
              </w:rPr>
              <w:t>47,0%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09"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0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0B" w14:textId="77777777" w:rsidR="00573680" w:rsidRPr="00761055" w:rsidRDefault="00573680">
            <w:pPr>
              <w:jc w:val="right"/>
              <w:rPr>
                <w:rFonts w:cstheme="minorHAnsi"/>
                <w:color w:val="000000"/>
                <w:sz w:val="18"/>
                <w:szCs w:val="18"/>
              </w:rPr>
            </w:pPr>
            <w:r w:rsidRPr="00761055">
              <w:rPr>
                <w:rFonts w:cstheme="minorHAnsi"/>
                <w:color w:val="000000"/>
                <w:sz w:val="18"/>
                <w:szCs w:val="18"/>
              </w:rPr>
              <w:t>49,0%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0C"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0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0E" w14:textId="77777777" w:rsidR="00573680" w:rsidRPr="00761055" w:rsidRDefault="00573680">
            <w:pPr>
              <w:jc w:val="right"/>
              <w:rPr>
                <w:rFonts w:cstheme="minorHAnsi"/>
                <w:color w:val="000000"/>
                <w:sz w:val="18"/>
                <w:szCs w:val="18"/>
              </w:rPr>
            </w:pPr>
            <w:r w:rsidRPr="00761055">
              <w:rPr>
                <w:rFonts w:cstheme="minorHAnsi"/>
                <w:color w:val="000000"/>
                <w:sz w:val="18"/>
                <w:szCs w:val="18"/>
              </w:rPr>
              <w:t>36,0%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0F"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10"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11" w14:textId="77777777" w:rsidR="00573680" w:rsidRPr="00761055" w:rsidRDefault="00573680">
            <w:pPr>
              <w:jc w:val="right"/>
              <w:rPr>
                <w:rFonts w:cstheme="minorHAnsi"/>
                <w:color w:val="000000"/>
                <w:sz w:val="18"/>
                <w:szCs w:val="18"/>
              </w:rPr>
            </w:pPr>
            <w:r w:rsidRPr="00761055">
              <w:rPr>
                <w:rFonts w:cstheme="minorHAnsi"/>
                <w:color w:val="000000"/>
                <w:sz w:val="18"/>
                <w:szCs w:val="18"/>
              </w:rPr>
              <w:t>0,0%</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12"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13"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14" w14:textId="77777777" w:rsidR="00573680" w:rsidRPr="00761055" w:rsidRDefault="00573680">
            <w:pPr>
              <w:jc w:val="right"/>
              <w:rPr>
                <w:rFonts w:cstheme="minorHAnsi"/>
                <w:color w:val="000000"/>
                <w:sz w:val="18"/>
                <w:szCs w:val="18"/>
              </w:rPr>
            </w:pPr>
            <w:r w:rsidRPr="00761055">
              <w:rPr>
                <w:rFonts w:cstheme="minorHAnsi"/>
                <w:color w:val="000000"/>
                <w:sz w:val="18"/>
                <w:szCs w:val="18"/>
              </w:rPr>
              <w:t>0,0%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15"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1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17" w14:textId="77777777" w:rsidR="00573680" w:rsidRPr="00761055" w:rsidRDefault="00573680">
            <w:pPr>
              <w:jc w:val="right"/>
              <w:rPr>
                <w:rFonts w:cstheme="minorHAnsi"/>
                <w:color w:val="000000"/>
                <w:sz w:val="18"/>
                <w:szCs w:val="18"/>
              </w:rPr>
            </w:pPr>
            <w:r w:rsidRPr="00761055">
              <w:rPr>
                <w:rFonts w:cstheme="minorHAnsi"/>
                <w:color w:val="000000"/>
                <w:sz w:val="18"/>
                <w:szCs w:val="18"/>
              </w:rPr>
              <w:t>97,6%</w:t>
            </w:r>
          </w:p>
        </w:tc>
      </w:tr>
      <w:tr w:rsidR="007A2E50" w:rsidRPr="00761055" w14:paraId="569F212C" w14:textId="77777777" w:rsidTr="002F33BC">
        <w:trPr>
          <w:trHeight w:val="402"/>
        </w:trPr>
        <w:tc>
          <w:tcPr>
            <w:tcW w:w="2024" w:type="dxa"/>
            <w:tcBorders>
              <w:top w:val="nil"/>
              <w:left w:val="nil"/>
              <w:bottom w:val="nil"/>
              <w:right w:val="nil"/>
            </w:tcBorders>
            <w:shd w:val="clear" w:color="auto" w:fill="auto"/>
            <w:noWrap/>
            <w:vAlign w:val="bottom"/>
            <w:hideMark/>
          </w:tcPr>
          <w:p w14:paraId="569F2119"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Papendrecht</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1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1B"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1C" w14:textId="77777777" w:rsidR="00573680" w:rsidRPr="00761055" w:rsidRDefault="00573680">
            <w:pPr>
              <w:jc w:val="right"/>
              <w:rPr>
                <w:rFonts w:cstheme="minorHAnsi"/>
                <w:color w:val="000000"/>
                <w:sz w:val="18"/>
                <w:szCs w:val="18"/>
              </w:rPr>
            </w:pPr>
            <w:r w:rsidRPr="00761055">
              <w:rPr>
                <w:rFonts w:cstheme="minorHAnsi"/>
                <w:color w:val="000000"/>
                <w:sz w:val="18"/>
                <w:szCs w:val="18"/>
              </w:rPr>
              <w:t>73,0%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1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1E"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1F" w14:textId="77777777" w:rsidR="00573680" w:rsidRPr="00761055" w:rsidRDefault="00573680">
            <w:pPr>
              <w:jc w:val="right"/>
              <w:rPr>
                <w:rFonts w:cstheme="minorHAnsi"/>
                <w:color w:val="000000"/>
                <w:sz w:val="18"/>
                <w:szCs w:val="18"/>
              </w:rPr>
            </w:pPr>
            <w:r w:rsidRPr="00761055">
              <w:rPr>
                <w:rFonts w:cstheme="minorHAnsi"/>
                <w:color w:val="000000"/>
                <w:sz w:val="18"/>
                <w:szCs w:val="18"/>
              </w:rPr>
              <w:t>73,0%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20"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21"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22" w14:textId="77777777" w:rsidR="00573680" w:rsidRPr="00761055" w:rsidRDefault="00573680">
            <w:pPr>
              <w:jc w:val="right"/>
              <w:rPr>
                <w:rFonts w:cstheme="minorHAnsi"/>
                <w:color w:val="000000"/>
                <w:sz w:val="18"/>
                <w:szCs w:val="18"/>
              </w:rPr>
            </w:pPr>
            <w:r w:rsidRPr="00761055">
              <w:rPr>
                <w:rFonts w:cstheme="minorHAnsi"/>
                <w:color w:val="000000"/>
                <w:sz w:val="18"/>
                <w:szCs w:val="18"/>
              </w:rPr>
              <w:t>18,0%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23"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24"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25" w14:textId="77777777" w:rsidR="00573680" w:rsidRPr="00761055" w:rsidRDefault="00573680">
            <w:pPr>
              <w:jc w:val="right"/>
              <w:rPr>
                <w:rFonts w:cstheme="minorHAnsi"/>
                <w:color w:val="000000"/>
                <w:sz w:val="18"/>
                <w:szCs w:val="18"/>
              </w:rPr>
            </w:pPr>
            <w:r w:rsidRPr="00761055">
              <w:rPr>
                <w:rFonts w:cstheme="minorHAnsi"/>
                <w:color w:val="000000"/>
                <w:sz w:val="18"/>
                <w:szCs w:val="18"/>
              </w:rPr>
              <w:t>10,0%</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2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27"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28" w14:textId="77777777" w:rsidR="00573680" w:rsidRPr="00761055" w:rsidRDefault="00573680">
            <w:pPr>
              <w:jc w:val="right"/>
              <w:rPr>
                <w:rFonts w:cstheme="minorHAnsi"/>
                <w:color w:val="000000"/>
                <w:sz w:val="18"/>
                <w:szCs w:val="18"/>
              </w:rPr>
            </w:pPr>
            <w:r w:rsidRPr="00761055">
              <w:rPr>
                <w:rFonts w:cstheme="minorHAnsi"/>
                <w:color w:val="000000"/>
                <w:sz w:val="18"/>
                <w:szCs w:val="18"/>
              </w:rPr>
              <w:t>-0,4%</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29"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2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2B" w14:textId="77777777" w:rsidR="00573680" w:rsidRPr="00761055" w:rsidRDefault="00573680">
            <w:pPr>
              <w:jc w:val="right"/>
              <w:rPr>
                <w:rFonts w:cstheme="minorHAnsi"/>
                <w:color w:val="000000"/>
                <w:sz w:val="18"/>
                <w:szCs w:val="18"/>
              </w:rPr>
            </w:pPr>
            <w:r w:rsidRPr="00761055">
              <w:rPr>
                <w:rFonts w:cstheme="minorHAnsi"/>
                <w:color w:val="000000"/>
                <w:sz w:val="18"/>
                <w:szCs w:val="18"/>
              </w:rPr>
              <w:t>106,0%</w:t>
            </w:r>
          </w:p>
        </w:tc>
      </w:tr>
      <w:tr w:rsidR="007A2E50" w:rsidRPr="00761055" w14:paraId="569F2140" w14:textId="77777777" w:rsidTr="002F33BC">
        <w:trPr>
          <w:trHeight w:val="402"/>
        </w:trPr>
        <w:tc>
          <w:tcPr>
            <w:tcW w:w="2024" w:type="dxa"/>
            <w:tcBorders>
              <w:top w:val="nil"/>
              <w:left w:val="nil"/>
              <w:bottom w:val="nil"/>
              <w:right w:val="nil"/>
            </w:tcBorders>
            <w:shd w:val="clear" w:color="auto" w:fill="auto"/>
            <w:noWrap/>
            <w:vAlign w:val="bottom"/>
            <w:hideMark/>
          </w:tcPr>
          <w:p w14:paraId="569F212D"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Pijnacker-Nootdorp</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2E"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2F"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30" w14:textId="77777777" w:rsidR="00573680" w:rsidRPr="00761055" w:rsidRDefault="00573680">
            <w:pPr>
              <w:jc w:val="right"/>
              <w:rPr>
                <w:rFonts w:cstheme="minorHAnsi"/>
                <w:color w:val="000000"/>
                <w:sz w:val="18"/>
                <w:szCs w:val="18"/>
              </w:rPr>
            </w:pPr>
            <w:r w:rsidRPr="00761055">
              <w:rPr>
                <w:rFonts w:cstheme="minorHAnsi"/>
                <w:color w:val="000000"/>
                <w:sz w:val="18"/>
                <w:szCs w:val="18"/>
              </w:rPr>
              <w:t>177,0%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31"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32"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33" w14:textId="77777777" w:rsidR="00573680" w:rsidRPr="00761055" w:rsidRDefault="00573680">
            <w:pPr>
              <w:jc w:val="right"/>
              <w:rPr>
                <w:rFonts w:cstheme="minorHAnsi"/>
                <w:color w:val="000000"/>
                <w:sz w:val="18"/>
                <w:szCs w:val="18"/>
              </w:rPr>
            </w:pPr>
            <w:r w:rsidRPr="00761055">
              <w:rPr>
                <w:rFonts w:cstheme="minorHAnsi"/>
                <w:color w:val="000000"/>
                <w:sz w:val="18"/>
                <w:szCs w:val="18"/>
              </w:rPr>
              <w:t>176,1%</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34"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35"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36" w14:textId="77777777" w:rsidR="00573680" w:rsidRPr="00761055" w:rsidRDefault="00573680">
            <w:pPr>
              <w:jc w:val="right"/>
              <w:rPr>
                <w:rFonts w:cstheme="minorHAnsi"/>
                <w:color w:val="000000"/>
                <w:sz w:val="18"/>
                <w:szCs w:val="18"/>
              </w:rPr>
            </w:pPr>
            <w:r w:rsidRPr="00761055">
              <w:rPr>
                <w:rFonts w:cstheme="minorHAnsi"/>
                <w:color w:val="000000"/>
                <w:sz w:val="18"/>
                <w:szCs w:val="18"/>
              </w:rPr>
              <w:t>20,4%</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37"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38"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39" w14:textId="77777777" w:rsidR="00573680" w:rsidRPr="00761055" w:rsidRDefault="00573680">
            <w:pPr>
              <w:jc w:val="right"/>
              <w:rPr>
                <w:rFonts w:cstheme="minorHAnsi"/>
                <w:color w:val="000000"/>
                <w:sz w:val="18"/>
                <w:szCs w:val="18"/>
              </w:rPr>
            </w:pPr>
            <w:r w:rsidRPr="00761055">
              <w:rPr>
                <w:rFonts w:cstheme="minorHAnsi"/>
                <w:color w:val="000000"/>
                <w:sz w:val="18"/>
                <w:szCs w:val="18"/>
              </w:rPr>
              <w:t>80,8%</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3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3B"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3C"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3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3E"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3F" w14:textId="77777777" w:rsidR="00573680" w:rsidRPr="00761055" w:rsidRDefault="00573680">
            <w:pPr>
              <w:jc w:val="right"/>
              <w:rPr>
                <w:rFonts w:cstheme="minorHAnsi"/>
                <w:color w:val="000000"/>
                <w:sz w:val="18"/>
                <w:szCs w:val="18"/>
              </w:rPr>
            </w:pPr>
            <w:r w:rsidRPr="00761055">
              <w:rPr>
                <w:rFonts w:cstheme="minorHAnsi"/>
                <w:color w:val="000000"/>
                <w:sz w:val="18"/>
                <w:szCs w:val="18"/>
              </w:rPr>
              <w:t>116,6%</w:t>
            </w:r>
          </w:p>
        </w:tc>
      </w:tr>
      <w:tr w:rsidR="007A2E50" w:rsidRPr="00761055" w14:paraId="569F2154" w14:textId="77777777" w:rsidTr="002F33BC">
        <w:trPr>
          <w:trHeight w:val="402"/>
        </w:trPr>
        <w:tc>
          <w:tcPr>
            <w:tcW w:w="2024" w:type="dxa"/>
            <w:tcBorders>
              <w:top w:val="nil"/>
              <w:left w:val="nil"/>
              <w:bottom w:val="nil"/>
              <w:right w:val="nil"/>
            </w:tcBorders>
            <w:shd w:val="clear" w:color="auto" w:fill="auto"/>
            <w:noWrap/>
            <w:vAlign w:val="bottom"/>
            <w:hideMark/>
          </w:tcPr>
          <w:p w14:paraId="569F2141"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Ridderkerk</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42" w14:textId="77777777" w:rsidR="00573680" w:rsidRPr="00761055" w:rsidRDefault="00573680">
            <w:pPr>
              <w:jc w:val="right"/>
              <w:rPr>
                <w:rFonts w:cstheme="minorHAnsi"/>
                <w:color w:val="000000"/>
                <w:sz w:val="18"/>
                <w:szCs w:val="18"/>
              </w:rPr>
            </w:pPr>
            <w:r w:rsidRPr="00761055">
              <w:rPr>
                <w:rFonts w:cstheme="minorHAnsi"/>
                <w:color w:val="000000"/>
                <w:sz w:val="18"/>
                <w:szCs w:val="18"/>
              </w:rPr>
              <w:t>47,0%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43" w14:textId="77777777" w:rsidR="00573680" w:rsidRPr="00761055" w:rsidRDefault="00573680">
            <w:pPr>
              <w:jc w:val="right"/>
              <w:rPr>
                <w:rFonts w:cstheme="minorHAnsi"/>
                <w:color w:val="000000"/>
                <w:sz w:val="18"/>
                <w:szCs w:val="18"/>
              </w:rPr>
            </w:pPr>
            <w:r w:rsidRPr="00761055">
              <w:rPr>
                <w:rFonts w:cstheme="minorHAnsi"/>
                <w:color w:val="000000"/>
                <w:sz w:val="18"/>
                <w:szCs w:val="18"/>
              </w:rPr>
              <w:t>43,0%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44" w14:textId="77777777" w:rsidR="00573680" w:rsidRPr="00761055" w:rsidRDefault="00573680">
            <w:pPr>
              <w:jc w:val="right"/>
              <w:rPr>
                <w:rFonts w:cstheme="minorHAnsi"/>
                <w:color w:val="000000"/>
                <w:sz w:val="18"/>
                <w:szCs w:val="18"/>
              </w:rPr>
            </w:pPr>
            <w:r w:rsidRPr="00761055">
              <w:rPr>
                <w:rFonts w:cstheme="minorHAnsi"/>
                <w:color w:val="000000"/>
                <w:sz w:val="18"/>
                <w:szCs w:val="18"/>
              </w:rPr>
              <w:t>52,5%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45" w14:textId="77777777" w:rsidR="00573680" w:rsidRPr="00761055" w:rsidRDefault="00573680">
            <w:pPr>
              <w:jc w:val="right"/>
              <w:rPr>
                <w:rFonts w:cstheme="minorHAnsi"/>
                <w:color w:val="000000"/>
                <w:sz w:val="18"/>
                <w:szCs w:val="18"/>
              </w:rPr>
            </w:pPr>
            <w:r w:rsidRPr="00761055">
              <w:rPr>
                <w:rFonts w:cstheme="minorHAnsi"/>
                <w:color w:val="000000"/>
                <w:sz w:val="18"/>
                <w:szCs w:val="18"/>
              </w:rPr>
              <w:t>51,0%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46" w14:textId="77777777" w:rsidR="00573680" w:rsidRPr="00761055" w:rsidRDefault="00573680">
            <w:pPr>
              <w:jc w:val="right"/>
              <w:rPr>
                <w:rFonts w:cstheme="minorHAnsi"/>
                <w:color w:val="000000"/>
                <w:sz w:val="18"/>
                <w:szCs w:val="18"/>
              </w:rPr>
            </w:pPr>
            <w:r w:rsidRPr="00761055">
              <w:rPr>
                <w:rFonts w:cstheme="minorHAnsi"/>
                <w:color w:val="000000"/>
                <w:sz w:val="18"/>
                <w:szCs w:val="18"/>
              </w:rPr>
              <w:t>47,0%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47" w14:textId="77777777" w:rsidR="00573680" w:rsidRPr="00761055" w:rsidRDefault="00573680">
            <w:pPr>
              <w:jc w:val="right"/>
              <w:rPr>
                <w:rFonts w:cstheme="minorHAnsi"/>
                <w:color w:val="000000"/>
                <w:sz w:val="18"/>
                <w:szCs w:val="18"/>
              </w:rPr>
            </w:pPr>
            <w:r w:rsidRPr="00761055">
              <w:rPr>
                <w:rFonts w:cstheme="minorHAnsi"/>
                <w:color w:val="000000"/>
                <w:sz w:val="18"/>
                <w:szCs w:val="18"/>
              </w:rPr>
              <w:t>53,0%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48" w14:textId="77777777" w:rsidR="00573680" w:rsidRPr="00761055" w:rsidRDefault="00573680">
            <w:pPr>
              <w:jc w:val="right"/>
              <w:rPr>
                <w:rFonts w:cstheme="minorHAnsi"/>
                <w:color w:val="000000"/>
                <w:sz w:val="18"/>
                <w:szCs w:val="18"/>
              </w:rPr>
            </w:pPr>
            <w:r w:rsidRPr="00761055">
              <w:rPr>
                <w:rFonts w:cstheme="minorHAnsi"/>
                <w:color w:val="000000"/>
                <w:sz w:val="18"/>
                <w:szCs w:val="18"/>
              </w:rPr>
              <w:t>42,0%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49" w14:textId="77777777" w:rsidR="00573680" w:rsidRPr="00761055" w:rsidRDefault="00573680">
            <w:pPr>
              <w:jc w:val="right"/>
              <w:rPr>
                <w:rFonts w:cstheme="minorHAnsi"/>
                <w:color w:val="000000"/>
                <w:sz w:val="18"/>
                <w:szCs w:val="18"/>
              </w:rPr>
            </w:pPr>
            <w:r w:rsidRPr="00761055">
              <w:rPr>
                <w:rFonts w:cstheme="minorHAnsi"/>
                <w:color w:val="000000"/>
                <w:sz w:val="18"/>
                <w:szCs w:val="18"/>
              </w:rPr>
              <w:t>44,0%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4A" w14:textId="77777777" w:rsidR="00573680" w:rsidRPr="00761055" w:rsidRDefault="00573680">
            <w:pPr>
              <w:jc w:val="right"/>
              <w:rPr>
                <w:rFonts w:cstheme="minorHAnsi"/>
                <w:color w:val="000000"/>
                <w:sz w:val="18"/>
                <w:szCs w:val="18"/>
              </w:rPr>
            </w:pPr>
            <w:r w:rsidRPr="00761055">
              <w:rPr>
                <w:rFonts w:cstheme="minorHAnsi"/>
                <w:color w:val="000000"/>
                <w:sz w:val="18"/>
                <w:szCs w:val="18"/>
              </w:rPr>
              <w:t>41,2%</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4B" w14:textId="77777777" w:rsidR="00573680" w:rsidRPr="00761055" w:rsidRDefault="00573680">
            <w:pPr>
              <w:jc w:val="right"/>
              <w:rPr>
                <w:rFonts w:cstheme="minorHAnsi"/>
                <w:color w:val="000000"/>
                <w:sz w:val="18"/>
                <w:szCs w:val="18"/>
              </w:rPr>
            </w:pPr>
            <w:r w:rsidRPr="00761055">
              <w:rPr>
                <w:rFonts w:cstheme="minorHAnsi"/>
                <w:color w:val="000000"/>
                <w:sz w:val="18"/>
                <w:szCs w:val="18"/>
              </w:rPr>
              <w:t>24,0%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4C" w14:textId="77777777" w:rsidR="00573680" w:rsidRPr="00761055" w:rsidRDefault="00573680">
            <w:pPr>
              <w:jc w:val="right"/>
              <w:rPr>
                <w:rFonts w:cstheme="minorHAnsi"/>
                <w:color w:val="000000"/>
                <w:sz w:val="18"/>
                <w:szCs w:val="18"/>
              </w:rPr>
            </w:pPr>
            <w:r w:rsidRPr="00761055">
              <w:rPr>
                <w:rFonts w:cstheme="minorHAnsi"/>
                <w:color w:val="000000"/>
                <w:sz w:val="18"/>
                <w:szCs w:val="18"/>
              </w:rPr>
              <w:t>29,0%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4D" w14:textId="77777777" w:rsidR="00573680" w:rsidRPr="00761055" w:rsidRDefault="00573680">
            <w:pPr>
              <w:jc w:val="right"/>
              <w:rPr>
                <w:rFonts w:cstheme="minorHAnsi"/>
                <w:color w:val="000000"/>
                <w:sz w:val="18"/>
                <w:szCs w:val="18"/>
              </w:rPr>
            </w:pPr>
            <w:r w:rsidRPr="00761055">
              <w:rPr>
                <w:rFonts w:cstheme="minorHAnsi"/>
                <w:color w:val="000000"/>
                <w:sz w:val="18"/>
                <w:szCs w:val="18"/>
              </w:rPr>
              <w:t>30,4%</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4E" w14:textId="77777777" w:rsidR="00573680" w:rsidRPr="00761055" w:rsidRDefault="00573680">
            <w:pPr>
              <w:jc w:val="right"/>
              <w:rPr>
                <w:rFonts w:cstheme="minorHAnsi"/>
                <w:color w:val="000000"/>
                <w:sz w:val="18"/>
                <w:szCs w:val="18"/>
              </w:rPr>
            </w:pPr>
            <w:r w:rsidRPr="00761055">
              <w:rPr>
                <w:rFonts w:cstheme="minorHAnsi"/>
                <w:color w:val="000000"/>
                <w:sz w:val="18"/>
                <w:szCs w:val="18"/>
              </w:rPr>
              <w:t>3,7%</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4F" w14:textId="77777777" w:rsidR="00573680" w:rsidRPr="00761055" w:rsidRDefault="00573680">
            <w:pPr>
              <w:jc w:val="right"/>
              <w:rPr>
                <w:rFonts w:cstheme="minorHAnsi"/>
                <w:color w:val="000000"/>
                <w:sz w:val="18"/>
                <w:szCs w:val="18"/>
              </w:rPr>
            </w:pPr>
            <w:r w:rsidRPr="00761055">
              <w:rPr>
                <w:rFonts w:cstheme="minorHAnsi"/>
                <w:color w:val="000000"/>
                <w:sz w:val="18"/>
                <w:szCs w:val="18"/>
              </w:rPr>
              <w:t>0,4%</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50" w14:textId="77777777" w:rsidR="00573680" w:rsidRPr="00761055" w:rsidRDefault="00573680">
            <w:pPr>
              <w:jc w:val="right"/>
              <w:rPr>
                <w:rFonts w:cstheme="minorHAnsi"/>
                <w:color w:val="000000"/>
                <w:sz w:val="18"/>
                <w:szCs w:val="18"/>
              </w:rPr>
            </w:pPr>
            <w:r w:rsidRPr="00761055">
              <w:rPr>
                <w:rFonts w:cstheme="minorHAnsi"/>
                <w:color w:val="000000"/>
                <w:sz w:val="18"/>
                <w:szCs w:val="18"/>
              </w:rPr>
              <w:t>0,1%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51" w14:textId="77777777" w:rsidR="00573680" w:rsidRPr="00761055" w:rsidRDefault="00573680">
            <w:pPr>
              <w:jc w:val="right"/>
              <w:rPr>
                <w:rFonts w:cstheme="minorHAnsi"/>
                <w:color w:val="000000"/>
                <w:sz w:val="18"/>
                <w:szCs w:val="18"/>
              </w:rPr>
            </w:pPr>
            <w:r w:rsidRPr="00761055">
              <w:rPr>
                <w:rFonts w:cstheme="minorHAnsi"/>
                <w:color w:val="000000"/>
                <w:sz w:val="18"/>
                <w:szCs w:val="18"/>
              </w:rPr>
              <w:t>94,0%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52" w14:textId="77777777" w:rsidR="00573680" w:rsidRPr="00761055" w:rsidRDefault="00573680">
            <w:pPr>
              <w:jc w:val="right"/>
              <w:rPr>
                <w:rFonts w:cstheme="minorHAnsi"/>
                <w:color w:val="000000"/>
                <w:sz w:val="18"/>
                <w:szCs w:val="18"/>
              </w:rPr>
            </w:pPr>
            <w:r w:rsidRPr="00761055">
              <w:rPr>
                <w:rFonts w:cstheme="minorHAnsi"/>
                <w:color w:val="000000"/>
                <w:sz w:val="18"/>
                <w:szCs w:val="18"/>
              </w:rPr>
              <w:t>92,0%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53" w14:textId="77777777" w:rsidR="00573680" w:rsidRPr="00761055" w:rsidRDefault="00573680">
            <w:pPr>
              <w:jc w:val="right"/>
              <w:rPr>
                <w:rFonts w:cstheme="minorHAnsi"/>
                <w:color w:val="000000"/>
                <w:sz w:val="18"/>
                <w:szCs w:val="18"/>
              </w:rPr>
            </w:pPr>
            <w:r w:rsidRPr="00761055">
              <w:rPr>
                <w:rFonts w:cstheme="minorHAnsi"/>
                <w:color w:val="000000"/>
                <w:sz w:val="18"/>
                <w:szCs w:val="18"/>
              </w:rPr>
              <w:t>95,7%</w:t>
            </w:r>
          </w:p>
        </w:tc>
      </w:tr>
      <w:tr w:rsidR="007A2E50" w:rsidRPr="00761055" w14:paraId="569F2168" w14:textId="77777777" w:rsidTr="002F33BC">
        <w:trPr>
          <w:trHeight w:val="402"/>
        </w:trPr>
        <w:tc>
          <w:tcPr>
            <w:tcW w:w="2024" w:type="dxa"/>
            <w:tcBorders>
              <w:top w:val="nil"/>
              <w:left w:val="nil"/>
              <w:bottom w:val="nil"/>
              <w:right w:val="nil"/>
            </w:tcBorders>
            <w:shd w:val="clear" w:color="auto" w:fill="auto"/>
            <w:noWrap/>
            <w:vAlign w:val="bottom"/>
            <w:hideMark/>
          </w:tcPr>
          <w:p w14:paraId="569F2155"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Rijswijk</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56" w14:textId="77777777" w:rsidR="00573680" w:rsidRPr="00761055" w:rsidRDefault="00573680">
            <w:pPr>
              <w:jc w:val="right"/>
              <w:rPr>
                <w:rFonts w:cstheme="minorHAnsi"/>
                <w:color w:val="000000"/>
                <w:sz w:val="18"/>
                <w:szCs w:val="18"/>
              </w:rPr>
            </w:pPr>
            <w:r w:rsidRPr="00761055">
              <w:rPr>
                <w:rFonts w:cstheme="minorHAnsi"/>
                <w:color w:val="000000"/>
                <w:sz w:val="18"/>
                <w:szCs w:val="18"/>
              </w:rPr>
              <w:t>185,0%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57" w14:textId="77777777" w:rsidR="00573680" w:rsidRPr="00761055" w:rsidRDefault="00573680">
            <w:pPr>
              <w:jc w:val="right"/>
              <w:rPr>
                <w:rFonts w:cstheme="minorHAnsi"/>
                <w:color w:val="000000"/>
                <w:sz w:val="18"/>
                <w:szCs w:val="18"/>
              </w:rPr>
            </w:pPr>
            <w:r w:rsidRPr="00761055">
              <w:rPr>
                <w:rFonts w:cstheme="minorHAnsi"/>
                <w:color w:val="000000"/>
                <w:sz w:val="18"/>
                <w:szCs w:val="18"/>
              </w:rPr>
              <w:t>175,6%</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58" w14:textId="77777777" w:rsidR="00573680" w:rsidRPr="00761055" w:rsidRDefault="00573680">
            <w:pPr>
              <w:jc w:val="right"/>
              <w:rPr>
                <w:rFonts w:cstheme="minorHAnsi"/>
                <w:color w:val="000000"/>
                <w:sz w:val="18"/>
                <w:szCs w:val="18"/>
              </w:rPr>
            </w:pPr>
            <w:r w:rsidRPr="00761055">
              <w:rPr>
                <w:rFonts w:cstheme="minorHAnsi"/>
                <w:color w:val="000000"/>
                <w:sz w:val="18"/>
                <w:szCs w:val="18"/>
              </w:rPr>
              <w:t>208,3%</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59" w14:textId="77777777" w:rsidR="00573680" w:rsidRPr="00761055" w:rsidRDefault="00573680">
            <w:pPr>
              <w:jc w:val="right"/>
              <w:rPr>
                <w:rFonts w:cstheme="minorHAnsi"/>
                <w:color w:val="000000"/>
                <w:sz w:val="18"/>
                <w:szCs w:val="18"/>
              </w:rPr>
            </w:pPr>
            <w:r w:rsidRPr="00761055">
              <w:rPr>
                <w:rFonts w:cstheme="minorHAnsi"/>
                <w:color w:val="000000"/>
                <w:sz w:val="18"/>
                <w:szCs w:val="18"/>
              </w:rPr>
              <w:t>182,5%</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5A" w14:textId="77777777" w:rsidR="00573680" w:rsidRPr="00761055" w:rsidRDefault="00573680">
            <w:pPr>
              <w:jc w:val="right"/>
              <w:rPr>
                <w:rFonts w:cstheme="minorHAnsi"/>
                <w:color w:val="000000"/>
                <w:sz w:val="18"/>
                <w:szCs w:val="18"/>
              </w:rPr>
            </w:pPr>
            <w:r w:rsidRPr="00761055">
              <w:rPr>
                <w:rFonts w:cstheme="minorHAnsi"/>
                <w:color w:val="000000"/>
                <w:sz w:val="18"/>
                <w:szCs w:val="18"/>
              </w:rPr>
              <w:t>171,1%</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5B" w14:textId="77777777" w:rsidR="00573680" w:rsidRPr="00761055" w:rsidRDefault="00573680">
            <w:pPr>
              <w:jc w:val="right"/>
              <w:rPr>
                <w:rFonts w:cstheme="minorHAnsi"/>
                <w:color w:val="000000"/>
                <w:sz w:val="18"/>
                <w:szCs w:val="18"/>
              </w:rPr>
            </w:pPr>
            <w:r w:rsidRPr="00761055">
              <w:rPr>
                <w:rFonts w:cstheme="minorHAnsi"/>
                <w:color w:val="000000"/>
                <w:sz w:val="18"/>
                <w:szCs w:val="18"/>
              </w:rPr>
              <w:t>202,8%</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5C" w14:textId="77777777" w:rsidR="00573680" w:rsidRPr="00761055" w:rsidRDefault="00573680">
            <w:pPr>
              <w:jc w:val="right"/>
              <w:rPr>
                <w:rFonts w:cstheme="minorHAnsi"/>
                <w:color w:val="000000"/>
                <w:sz w:val="18"/>
                <w:szCs w:val="18"/>
              </w:rPr>
            </w:pPr>
            <w:r w:rsidRPr="00761055">
              <w:rPr>
                <w:rFonts w:cstheme="minorHAnsi"/>
                <w:color w:val="000000"/>
                <w:sz w:val="18"/>
                <w:szCs w:val="18"/>
              </w:rPr>
              <w:t>12,0%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5D" w14:textId="77777777" w:rsidR="00573680" w:rsidRPr="00761055" w:rsidRDefault="00573680">
            <w:pPr>
              <w:jc w:val="right"/>
              <w:rPr>
                <w:rFonts w:cstheme="minorHAnsi"/>
                <w:color w:val="000000"/>
                <w:sz w:val="18"/>
                <w:szCs w:val="18"/>
              </w:rPr>
            </w:pPr>
            <w:r w:rsidRPr="00761055">
              <w:rPr>
                <w:rFonts w:cstheme="minorHAnsi"/>
                <w:color w:val="000000"/>
                <w:sz w:val="18"/>
                <w:szCs w:val="18"/>
              </w:rPr>
              <w:t>12,0%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5E" w14:textId="77777777" w:rsidR="00573680" w:rsidRPr="00761055" w:rsidRDefault="00573680">
            <w:pPr>
              <w:jc w:val="right"/>
              <w:rPr>
                <w:rFonts w:cstheme="minorHAnsi"/>
                <w:color w:val="000000"/>
                <w:sz w:val="18"/>
                <w:szCs w:val="18"/>
              </w:rPr>
            </w:pPr>
            <w:r w:rsidRPr="00761055">
              <w:rPr>
                <w:rFonts w:cstheme="minorHAnsi"/>
                <w:color w:val="000000"/>
                <w:sz w:val="18"/>
                <w:szCs w:val="18"/>
              </w:rPr>
              <w:t>13,0%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5F" w14:textId="77777777" w:rsidR="00573680" w:rsidRPr="00761055" w:rsidRDefault="00573680">
            <w:pPr>
              <w:jc w:val="right"/>
              <w:rPr>
                <w:rFonts w:cstheme="minorHAnsi"/>
                <w:color w:val="000000"/>
                <w:sz w:val="18"/>
                <w:szCs w:val="18"/>
              </w:rPr>
            </w:pPr>
            <w:r w:rsidRPr="00761055">
              <w:rPr>
                <w:rFonts w:cstheme="minorHAnsi"/>
                <w:color w:val="000000"/>
                <w:sz w:val="18"/>
                <w:szCs w:val="18"/>
              </w:rPr>
              <w:t>126,0%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60" w14:textId="77777777" w:rsidR="00573680" w:rsidRPr="00761055" w:rsidRDefault="00573680">
            <w:pPr>
              <w:jc w:val="right"/>
              <w:rPr>
                <w:rFonts w:cstheme="minorHAnsi"/>
                <w:color w:val="000000"/>
                <w:sz w:val="18"/>
                <w:szCs w:val="18"/>
              </w:rPr>
            </w:pPr>
            <w:r w:rsidRPr="00761055">
              <w:rPr>
                <w:rFonts w:cstheme="minorHAnsi"/>
                <w:color w:val="000000"/>
                <w:sz w:val="18"/>
                <w:szCs w:val="18"/>
              </w:rPr>
              <w:t>109,0%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61" w14:textId="77777777" w:rsidR="00573680" w:rsidRPr="00761055" w:rsidRDefault="00573680">
            <w:pPr>
              <w:jc w:val="right"/>
              <w:rPr>
                <w:rFonts w:cstheme="minorHAnsi"/>
                <w:color w:val="000000"/>
                <w:sz w:val="18"/>
                <w:szCs w:val="18"/>
              </w:rPr>
            </w:pPr>
            <w:r w:rsidRPr="00761055">
              <w:rPr>
                <w:rFonts w:cstheme="minorHAnsi"/>
                <w:color w:val="000000"/>
                <w:sz w:val="18"/>
                <w:szCs w:val="18"/>
              </w:rPr>
              <w:t>129,0%</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2" w14:textId="77777777" w:rsidR="00573680" w:rsidRPr="00761055" w:rsidRDefault="00573680">
            <w:pPr>
              <w:jc w:val="right"/>
              <w:rPr>
                <w:rFonts w:cstheme="minorHAnsi"/>
                <w:color w:val="000000"/>
                <w:sz w:val="18"/>
                <w:szCs w:val="18"/>
              </w:rPr>
            </w:pPr>
            <w:r w:rsidRPr="00761055">
              <w:rPr>
                <w:rFonts w:cstheme="minorHAnsi"/>
                <w:color w:val="000000"/>
                <w:sz w:val="18"/>
                <w:szCs w:val="18"/>
              </w:rPr>
              <w:t>3,0%</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3" w14:textId="77777777" w:rsidR="00573680" w:rsidRPr="00761055" w:rsidRDefault="00573680">
            <w:pPr>
              <w:jc w:val="right"/>
              <w:rPr>
                <w:rFonts w:cstheme="minorHAnsi"/>
                <w:color w:val="000000"/>
                <w:sz w:val="18"/>
                <w:szCs w:val="18"/>
              </w:rPr>
            </w:pPr>
            <w:r w:rsidRPr="00761055">
              <w:rPr>
                <w:rFonts w:cstheme="minorHAnsi"/>
                <w:color w:val="000000"/>
                <w:sz w:val="18"/>
                <w:szCs w:val="18"/>
              </w:rPr>
              <w:t>1,9%</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4" w14:textId="77777777" w:rsidR="00573680" w:rsidRPr="00761055" w:rsidRDefault="00573680">
            <w:pPr>
              <w:jc w:val="right"/>
              <w:rPr>
                <w:rFonts w:cstheme="minorHAnsi"/>
                <w:color w:val="000000"/>
                <w:sz w:val="18"/>
                <w:szCs w:val="18"/>
              </w:rPr>
            </w:pPr>
            <w:r w:rsidRPr="00761055">
              <w:rPr>
                <w:rFonts w:cstheme="minorHAnsi"/>
                <w:color w:val="000000"/>
                <w:sz w:val="18"/>
                <w:szCs w:val="18"/>
              </w:rPr>
              <w:t>1,1%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5" w14:textId="77777777" w:rsidR="00573680" w:rsidRPr="00761055" w:rsidRDefault="00573680">
            <w:pPr>
              <w:jc w:val="right"/>
              <w:rPr>
                <w:rFonts w:cstheme="minorHAnsi"/>
                <w:color w:val="000000"/>
                <w:sz w:val="18"/>
                <w:szCs w:val="18"/>
              </w:rPr>
            </w:pPr>
            <w:r w:rsidRPr="00761055">
              <w:rPr>
                <w:rFonts w:cstheme="minorHAnsi"/>
                <w:color w:val="000000"/>
                <w:sz w:val="18"/>
                <w:szCs w:val="18"/>
              </w:rPr>
              <w:t>85,0%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6" w14:textId="77777777" w:rsidR="00573680" w:rsidRPr="00761055" w:rsidRDefault="00573680">
            <w:pPr>
              <w:jc w:val="right"/>
              <w:rPr>
                <w:rFonts w:cstheme="minorHAnsi"/>
                <w:color w:val="000000"/>
                <w:sz w:val="18"/>
                <w:szCs w:val="18"/>
              </w:rPr>
            </w:pPr>
            <w:r w:rsidRPr="00761055">
              <w:rPr>
                <w:rFonts w:cstheme="minorHAnsi"/>
                <w:color w:val="000000"/>
                <w:sz w:val="18"/>
                <w:szCs w:val="18"/>
              </w:rPr>
              <w:t>91,0%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7" w14:textId="77777777" w:rsidR="00573680" w:rsidRPr="00761055" w:rsidRDefault="00573680">
            <w:pPr>
              <w:jc w:val="right"/>
              <w:rPr>
                <w:rFonts w:cstheme="minorHAnsi"/>
                <w:color w:val="000000"/>
                <w:sz w:val="18"/>
                <w:szCs w:val="18"/>
              </w:rPr>
            </w:pPr>
            <w:r w:rsidRPr="00761055">
              <w:rPr>
                <w:rFonts w:cstheme="minorHAnsi"/>
                <w:color w:val="000000"/>
                <w:sz w:val="18"/>
                <w:szCs w:val="18"/>
              </w:rPr>
              <w:t>94,0%</w:t>
            </w:r>
          </w:p>
        </w:tc>
      </w:tr>
      <w:tr w:rsidR="007A2E50" w:rsidRPr="00761055" w14:paraId="569F217C" w14:textId="77777777" w:rsidTr="002F33BC">
        <w:trPr>
          <w:trHeight w:val="402"/>
        </w:trPr>
        <w:tc>
          <w:tcPr>
            <w:tcW w:w="2024" w:type="dxa"/>
            <w:tcBorders>
              <w:top w:val="nil"/>
              <w:left w:val="nil"/>
              <w:bottom w:val="nil"/>
              <w:right w:val="nil"/>
            </w:tcBorders>
            <w:shd w:val="clear" w:color="auto" w:fill="auto"/>
            <w:noWrap/>
            <w:vAlign w:val="bottom"/>
            <w:hideMark/>
          </w:tcPr>
          <w:p w14:paraId="569F2169"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Rotterdam</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A" w14:textId="77777777" w:rsidR="00573680" w:rsidRPr="00761055" w:rsidRDefault="00573680">
            <w:pPr>
              <w:jc w:val="right"/>
              <w:rPr>
                <w:rFonts w:cstheme="minorHAnsi"/>
                <w:color w:val="000000"/>
                <w:sz w:val="18"/>
                <w:szCs w:val="18"/>
              </w:rPr>
            </w:pPr>
            <w:r w:rsidRPr="00761055">
              <w:rPr>
                <w:rFonts w:cstheme="minorHAnsi"/>
                <w:color w:val="000000"/>
                <w:sz w:val="18"/>
                <w:szCs w:val="18"/>
              </w:rPr>
              <w:t>80,0%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B" w14:textId="77777777" w:rsidR="00573680" w:rsidRPr="00761055" w:rsidRDefault="00573680">
            <w:pPr>
              <w:jc w:val="right"/>
              <w:rPr>
                <w:rFonts w:cstheme="minorHAnsi"/>
                <w:color w:val="000000"/>
                <w:sz w:val="18"/>
                <w:szCs w:val="18"/>
              </w:rPr>
            </w:pPr>
            <w:r w:rsidRPr="00761055">
              <w:rPr>
                <w:rFonts w:cstheme="minorHAnsi"/>
                <w:color w:val="000000"/>
                <w:sz w:val="18"/>
                <w:szCs w:val="18"/>
              </w:rPr>
              <w:t>81,0%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C" w14:textId="77777777" w:rsidR="00573680" w:rsidRPr="00761055" w:rsidRDefault="00573680">
            <w:pPr>
              <w:jc w:val="right"/>
              <w:rPr>
                <w:rFonts w:cstheme="minorHAnsi"/>
                <w:color w:val="000000"/>
                <w:sz w:val="18"/>
                <w:szCs w:val="18"/>
              </w:rPr>
            </w:pPr>
            <w:r w:rsidRPr="00761055">
              <w:rPr>
                <w:rFonts w:cstheme="minorHAnsi"/>
                <w:color w:val="000000"/>
                <w:sz w:val="18"/>
                <w:szCs w:val="18"/>
              </w:rPr>
              <w:t>82,0%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D" w14:textId="77777777" w:rsidR="00573680" w:rsidRPr="00761055" w:rsidRDefault="00573680">
            <w:pPr>
              <w:jc w:val="right"/>
              <w:rPr>
                <w:rFonts w:cstheme="minorHAnsi"/>
                <w:color w:val="000000"/>
                <w:sz w:val="18"/>
                <w:szCs w:val="18"/>
              </w:rPr>
            </w:pPr>
            <w:r w:rsidRPr="00761055">
              <w:rPr>
                <w:rFonts w:cstheme="minorHAnsi"/>
                <w:color w:val="000000"/>
                <w:sz w:val="18"/>
                <w:szCs w:val="18"/>
              </w:rPr>
              <w:t>50,0%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E" w14:textId="77777777" w:rsidR="00573680" w:rsidRPr="00761055" w:rsidRDefault="00573680">
            <w:pPr>
              <w:jc w:val="right"/>
              <w:rPr>
                <w:rFonts w:cstheme="minorHAnsi"/>
                <w:color w:val="000000"/>
                <w:sz w:val="18"/>
                <w:szCs w:val="18"/>
              </w:rPr>
            </w:pPr>
            <w:r w:rsidRPr="00761055">
              <w:rPr>
                <w:rFonts w:cstheme="minorHAnsi"/>
                <w:color w:val="000000"/>
                <w:sz w:val="18"/>
                <w:szCs w:val="18"/>
              </w:rPr>
              <w:t>55,0%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6F" w14:textId="77777777" w:rsidR="00573680" w:rsidRPr="00761055" w:rsidRDefault="00573680">
            <w:pPr>
              <w:jc w:val="right"/>
              <w:rPr>
                <w:rFonts w:cstheme="minorHAnsi"/>
                <w:color w:val="000000"/>
                <w:sz w:val="18"/>
                <w:szCs w:val="18"/>
              </w:rPr>
            </w:pPr>
            <w:r w:rsidRPr="00761055">
              <w:rPr>
                <w:rFonts w:cstheme="minorHAnsi"/>
                <w:color w:val="000000"/>
                <w:sz w:val="18"/>
                <w:szCs w:val="18"/>
              </w:rPr>
              <w:t>61,0%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70" w14:textId="77777777" w:rsidR="00573680" w:rsidRPr="00761055" w:rsidRDefault="00573680">
            <w:pPr>
              <w:jc w:val="right"/>
              <w:rPr>
                <w:rFonts w:cstheme="minorHAnsi"/>
                <w:color w:val="000000"/>
                <w:sz w:val="18"/>
                <w:szCs w:val="18"/>
              </w:rPr>
            </w:pPr>
            <w:r w:rsidRPr="00761055">
              <w:rPr>
                <w:rFonts w:cstheme="minorHAnsi"/>
                <w:color w:val="000000"/>
                <w:sz w:val="18"/>
                <w:szCs w:val="18"/>
              </w:rPr>
              <w:t>27,0%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71" w14:textId="77777777" w:rsidR="00573680" w:rsidRPr="00761055" w:rsidRDefault="00573680">
            <w:pPr>
              <w:jc w:val="right"/>
              <w:rPr>
                <w:rFonts w:cstheme="minorHAnsi"/>
                <w:color w:val="000000"/>
                <w:sz w:val="18"/>
                <w:szCs w:val="18"/>
              </w:rPr>
            </w:pPr>
            <w:r w:rsidRPr="00761055">
              <w:rPr>
                <w:rFonts w:cstheme="minorHAnsi"/>
                <w:color w:val="000000"/>
                <w:sz w:val="18"/>
                <w:szCs w:val="18"/>
              </w:rPr>
              <w:t>22,0%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72" w14:textId="77777777" w:rsidR="00573680" w:rsidRPr="00761055" w:rsidRDefault="00573680">
            <w:pPr>
              <w:jc w:val="right"/>
              <w:rPr>
                <w:rFonts w:cstheme="minorHAnsi"/>
                <w:color w:val="000000"/>
                <w:sz w:val="18"/>
                <w:szCs w:val="18"/>
              </w:rPr>
            </w:pPr>
            <w:r w:rsidRPr="00761055">
              <w:rPr>
                <w:rFonts w:cstheme="minorHAnsi"/>
                <w:color w:val="000000"/>
                <w:sz w:val="18"/>
                <w:szCs w:val="18"/>
              </w:rPr>
              <w:t>19,0%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73" w14:textId="77777777" w:rsidR="00573680" w:rsidRPr="00761055" w:rsidRDefault="00573680">
            <w:pPr>
              <w:jc w:val="right"/>
              <w:rPr>
                <w:rFonts w:cstheme="minorHAnsi"/>
                <w:color w:val="000000"/>
                <w:sz w:val="18"/>
                <w:szCs w:val="18"/>
              </w:rPr>
            </w:pPr>
            <w:r w:rsidRPr="00761055">
              <w:rPr>
                <w:rFonts w:cstheme="minorHAnsi"/>
                <w:color w:val="000000"/>
                <w:sz w:val="18"/>
                <w:szCs w:val="18"/>
              </w:rPr>
              <w:t>-5,2%</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74" w14:textId="77777777" w:rsidR="00573680" w:rsidRPr="00761055" w:rsidRDefault="00573680">
            <w:pPr>
              <w:jc w:val="right"/>
              <w:rPr>
                <w:rFonts w:cstheme="minorHAnsi"/>
                <w:color w:val="000000"/>
                <w:sz w:val="18"/>
                <w:szCs w:val="18"/>
              </w:rPr>
            </w:pPr>
            <w:r w:rsidRPr="00761055">
              <w:rPr>
                <w:rFonts w:cstheme="minorHAnsi"/>
                <w:color w:val="000000"/>
                <w:sz w:val="18"/>
                <w:szCs w:val="18"/>
              </w:rPr>
              <w:t>-5,3%</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75" w14:textId="77777777" w:rsidR="00573680" w:rsidRPr="00761055" w:rsidRDefault="00573680">
            <w:pPr>
              <w:jc w:val="right"/>
              <w:rPr>
                <w:rFonts w:cstheme="minorHAnsi"/>
                <w:color w:val="000000"/>
                <w:sz w:val="18"/>
                <w:szCs w:val="18"/>
              </w:rPr>
            </w:pPr>
            <w:r w:rsidRPr="00761055">
              <w:rPr>
                <w:rFonts w:cstheme="minorHAnsi"/>
                <w:color w:val="000000"/>
                <w:sz w:val="18"/>
                <w:szCs w:val="18"/>
              </w:rPr>
              <w:t>-5,2%</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76" w14:textId="77777777" w:rsidR="00573680" w:rsidRPr="00761055" w:rsidRDefault="00573680">
            <w:pPr>
              <w:jc w:val="right"/>
              <w:rPr>
                <w:rFonts w:cstheme="minorHAnsi"/>
                <w:color w:val="000000"/>
                <w:sz w:val="18"/>
                <w:szCs w:val="18"/>
              </w:rPr>
            </w:pPr>
            <w:r w:rsidRPr="00761055">
              <w:rPr>
                <w:rFonts w:cstheme="minorHAnsi"/>
                <w:color w:val="000000"/>
                <w:sz w:val="18"/>
                <w:szCs w:val="18"/>
              </w:rPr>
              <w:t>4,0%</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77"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78" w14:textId="77777777" w:rsidR="00573680" w:rsidRPr="00761055" w:rsidRDefault="00573680">
            <w:pPr>
              <w:jc w:val="right"/>
              <w:rPr>
                <w:rFonts w:cstheme="minorHAnsi"/>
                <w:color w:val="000000"/>
                <w:sz w:val="18"/>
                <w:szCs w:val="18"/>
              </w:rPr>
            </w:pPr>
            <w:r w:rsidRPr="00761055">
              <w:rPr>
                <w:rFonts w:cstheme="minorHAnsi"/>
                <w:color w:val="000000"/>
                <w:sz w:val="18"/>
                <w:szCs w:val="18"/>
              </w:rPr>
              <w:t>2,9%</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79" w14:textId="77777777" w:rsidR="00573680" w:rsidRPr="00761055" w:rsidRDefault="00573680">
            <w:pPr>
              <w:jc w:val="right"/>
              <w:rPr>
                <w:rFonts w:cstheme="minorHAnsi"/>
                <w:color w:val="000000"/>
                <w:sz w:val="18"/>
                <w:szCs w:val="18"/>
              </w:rPr>
            </w:pPr>
            <w:r w:rsidRPr="00761055">
              <w:rPr>
                <w:rFonts w:cstheme="minorHAnsi"/>
                <w:color w:val="000000"/>
                <w:sz w:val="18"/>
                <w:szCs w:val="18"/>
              </w:rPr>
              <w:t>106,0%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7A" w14:textId="77777777" w:rsidR="00573680" w:rsidRPr="00761055" w:rsidRDefault="00573680">
            <w:pPr>
              <w:jc w:val="right"/>
              <w:rPr>
                <w:rFonts w:cstheme="minorHAnsi"/>
                <w:color w:val="000000"/>
                <w:sz w:val="18"/>
                <w:szCs w:val="18"/>
              </w:rPr>
            </w:pPr>
            <w:r w:rsidRPr="00761055">
              <w:rPr>
                <w:rFonts w:cstheme="minorHAnsi"/>
                <w:color w:val="000000"/>
                <w:sz w:val="18"/>
                <w:szCs w:val="18"/>
              </w:rPr>
              <w:t>104,0%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7B" w14:textId="77777777" w:rsidR="00573680" w:rsidRPr="00761055" w:rsidRDefault="00573680">
            <w:pPr>
              <w:jc w:val="right"/>
              <w:rPr>
                <w:rFonts w:cstheme="minorHAnsi"/>
                <w:color w:val="000000"/>
                <w:sz w:val="18"/>
                <w:szCs w:val="18"/>
              </w:rPr>
            </w:pPr>
            <w:r w:rsidRPr="00761055">
              <w:rPr>
                <w:rFonts w:cstheme="minorHAnsi"/>
                <w:color w:val="000000"/>
                <w:sz w:val="18"/>
                <w:szCs w:val="18"/>
              </w:rPr>
              <w:t>101,0%</w:t>
            </w:r>
          </w:p>
        </w:tc>
      </w:tr>
      <w:tr w:rsidR="007A2E50" w:rsidRPr="00761055" w14:paraId="569F2190" w14:textId="77777777" w:rsidTr="002F33BC">
        <w:trPr>
          <w:trHeight w:val="402"/>
        </w:trPr>
        <w:tc>
          <w:tcPr>
            <w:tcW w:w="2024" w:type="dxa"/>
            <w:tcBorders>
              <w:top w:val="nil"/>
              <w:left w:val="nil"/>
              <w:bottom w:val="nil"/>
              <w:right w:val="nil"/>
            </w:tcBorders>
            <w:shd w:val="clear" w:color="auto" w:fill="auto"/>
            <w:noWrap/>
            <w:vAlign w:val="bottom"/>
            <w:hideMark/>
          </w:tcPr>
          <w:p w14:paraId="569F217D"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Schiedam</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7E" w14:textId="77777777" w:rsidR="00573680" w:rsidRPr="00761055" w:rsidRDefault="00573680">
            <w:pPr>
              <w:jc w:val="right"/>
              <w:rPr>
                <w:rFonts w:cstheme="minorHAnsi"/>
                <w:color w:val="000000"/>
                <w:sz w:val="18"/>
                <w:szCs w:val="18"/>
              </w:rPr>
            </w:pPr>
            <w:r w:rsidRPr="00761055">
              <w:rPr>
                <w:rFonts w:cstheme="minorHAnsi"/>
                <w:color w:val="000000"/>
                <w:sz w:val="18"/>
                <w:szCs w:val="18"/>
              </w:rPr>
              <w:t>147,8%</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7F" w14:textId="77777777" w:rsidR="00573680" w:rsidRPr="00761055" w:rsidRDefault="00573680">
            <w:pPr>
              <w:jc w:val="right"/>
              <w:rPr>
                <w:rFonts w:cstheme="minorHAnsi"/>
                <w:color w:val="000000"/>
                <w:sz w:val="18"/>
                <w:szCs w:val="18"/>
              </w:rPr>
            </w:pPr>
            <w:r w:rsidRPr="00761055">
              <w:rPr>
                <w:rFonts w:cstheme="minorHAnsi"/>
                <w:color w:val="000000"/>
                <w:sz w:val="18"/>
                <w:szCs w:val="18"/>
              </w:rPr>
              <w:t>154,8%</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80" w14:textId="77777777" w:rsidR="00573680" w:rsidRPr="00761055" w:rsidRDefault="00573680">
            <w:pPr>
              <w:jc w:val="right"/>
              <w:rPr>
                <w:rFonts w:cstheme="minorHAnsi"/>
                <w:color w:val="000000"/>
                <w:sz w:val="18"/>
                <w:szCs w:val="18"/>
              </w:rPr>
            </w:pPr>
            <w:r w:rsidRPr="00761055">
              <w:rPr>
                <w:rFonts w:cstheme="minorHAnsi"/>
                <w:color w:val="000000"/>
                <w:sz w:val="18"/>
                <w:szCs w:val="18"/>
              </w:rPr>
              <w:t>173,1%</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81" w14:textId="77777777" w:rsidR="00573680" w:rsidRPr="00761055" w:rsidRDefault="00573680">
            <w:pPr>
              <w:jc w:val="right"/>
              <w:rPr>
                <w:rFonts w:cstheme="minorHAnsi"/>
                <w:color w:val="000000"/>
                <w:sz w:val="18"/>
                <w:szCs w:val="18"/>
              </w:rPr>
            </w:pPr>
            <w:r w:rsidRPr="00761055">
              <w:rPr>
                <w:rFonts w:cstheme="minorHAnsi"/>
                <w:color w:val="000000"/>
                <w:sz w:val="18"/>
                <w:szCs w:val="18"/>
              </w:rPr>
              <w:t>154,2%</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82" w14:textId="77777777" w:rsidR="00573680" w:rsidRPr="00761055" w:rsidRDefault="00573680">
            <w:pPr>
              <w:jc w:val="right"/>
              <w:rPr>
                <w:rFonts w:cstheme="minorHAnsi"/>
                <w:color w:val="000000"/>
                <w:sz w:val="18"/>
                <w:szCs w:val="18"/>
              </w:rPr>
            </w:pPr>
            <w:r w:rsidRPr="00761055">
              <w:rPr>
                <w:rFonts w:cstheme="minorHAnsi"/>
                <w:color w:val="000000"/>
                <w:sz w:val="18"/>
                <w:szCs w:val="18"/>
              </w:rPr>
              <w:t>161,0%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83" w14:textId="77777777" w:rsidR="00573680" w:rsidRPr="00761055" w:rsidRDefault="00573680">
            <w:pPr>
              <w:jc w:val="right"/>
              <w:rPr>
                <w:rFonts w:cstheme="minorHAnsi"/>
                <w:color w:val="000000"/>
                <w:sz w:val="18"/>
                <w:szCs w:val="18"/>
              </w:rPr>
            </w:pPr>
            <w:r w:rsidRPr="00761055">
              <w:rPr>
                <w:rFonts w:cstheme="minorHAnsi"/>
                <w:color w:val="000000"/>
                <w:sz w:val="18"/>
                <w:szCs w:val="18"/>
              </w:rPr>
              <w:t>179,5%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84" w14:textId="77777777" w:rsidR="00573680" w:rsidRPr="00761055" w:rsidRDefault="00573680">
            <w:pPr>
              <w:jc w:val="right"/>
              <w:rPr>
                <w:rFonts w:cstheme="minorHAnsi"/>
                <w:color w:val="000000"/>
                <w:sz w:val="18"/>
                <w:szCs w:val="18"/>
              </w:rPr>
            </w:pPr>
            <w:r w:rsidRPr="00761055">
              <w:rPr>
                <w:rFonts w:cstheme="minorHAnsi"/>
                <w:color w:val="000000"/>
                <w:sz w:val="18"/>
                <w:szCs w:val="18"/>
              </w:rPr>
              <w:t>23,6%</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85" w14:textId="77777777" w:rsidR="00573680" w:rsidRPr="00761055" w:rsidRDefault="00573680">
            <w:pPr>
              <w:jc w:val="right"/>
              <w:rPr>
                <w:rFonts w:cstheme="minorHAnsi"/>
                <w:color w:val="000000"/>
                <w:sz w:val="18"/>
                <w:szCs w:val="18"/>
              </w:rPr>
            </w:pPr>
            <w:r w:rsidRPr="00761055">
              <w:rPr>
                <w:rFonts w:cstheme="minorHAnsi"/>
                <w:color w:val="000000"/>
                <w:sz w:val="18"/>
                <w:szCs w:val="18"/>
              </w:rPr>
              <w:t>21,0%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86" w14:textId="77777777" w:rsidR="00573680" w:rsidRPr="00761055" w:rsidRDefault="00573680">
            <w:pPr>
              <w:jc w:val="right"/>
              <w:rPr>
                <w:rFonts w:cstheme="minorHAnsi"/>
                <w:color w:val="000000"/>
                <w:sz w:val="18"/>
                <w:szCs w:val="18"/>
              </w:rPr>
            </w:pPr>
            <w:r w:rsidRPr="00761055">
              <w:rPr>
                <w:rFonts w:cstheme="minorHAnsi"/>
                <w:color w:val="000000"/>
                <w:sz w:val="18"/>
                <w:szCs w:val="18"/>
              </w:rPr>
              <w:t>18,4%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87" w14:textId="77777777" w:rsidR="00573680" w:rsidRPr="00761055" w:rsidRDefault="00573680">
            <w:pPr>
              <w:jc w:val="right"/>
              <w:rPr>
                <w:rFonts w:cstheme="minorHAnsi"/>
                <w:color w:val="000000"/>
                <w:sz w:val="18"/>
                <w:szCs w:val="18"/>
              </w:rPr>
            </w:pPr>
            <w:r w:rsidRPr="00761055">
              <w:rPr>
                <w:rFonts w:cstheme="minorHAnsi"/>
                <w:color w:val="000000"/>
                <w:sz w:val="18"/>
                <w:szCs w:val="18"/>
              </w:rPr>
              <w:t>6,2%</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88" w14:textId="77777777" w:rsidR="00573680" w:rsidRPr="00761055" w:rsidRDefault="00573680">
            <w:pPr>
              <w:jc w:val="right"/>
              <w:rPr>
                <w:rFonts w:cstheme="minorHAnsi"/>
                <w:color w:val="000000"/>
                <w:sz w:val="18"/>
                <w:szCs w:val="18"/>
              </w:rPr>
            </w:pPr>
            <w:r w:rsidRPr="00761055">
              <w:rPr>
                <w:rFonts w:cstheme="minorHAnsi"/>
                <w:color w:val="000000"/>
                <w:sz w:val="18"/>
                <w:szCs w:val="18"/>
              </w:rPr>
              <w:t>6,2%</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89" w14:textId="77777777" w:rsidR="00573680" w:rsidRPr="00761055" w:rsidRDefault="00573680">
            <w:pPr>
              <w:jc w:val="right"/>
              <w:rPr>
                <w:rFonts w:cstheme="minorHAnsi"/>
                <w:color w:val="000000"/>
                <w:sz w:val="18"/>
                <w:szCs w:val="18"/>
              </w:rPr>
            </w:pPr>
            <w:r w:rsidRPr="00761055">
              <w:rPr>
                <w:rFonts w:cstheme="minorHAnsi"/>
                <w:color w:val="000000"/>
                <w:sz w:val="18"/>
                <w:szCs w:val="18"/>
              </w:rPr>
              <w:t>4,0%</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8A" w14:textId="77777777" w:rsidR="00573680" w:rsidRPr="00761055" w:rsidRDefault="00573680">
            <w:pPr>
              <w:jc w:val="right"/>
              <w:rPr>
                <w:rFonts w:cstheme="minorHAnsi"/>
                <w:color w:val="000000"/>
                <w:sz w:val="18"/>
                <w:szCs w:val="18"/>
              </w:rPr>
            </w:pPr>
            <w:r w:rsidRPr="00761055">
              <w:rPr>
                <w:rFonts w:cstheme="minorHAnsi"/>
                <w:color w:val="000000"/>
                <w:sz w:val="18"/>
                <w:szCs w:val="18"/>
              </w:rPr>
              <w:t>0,5%</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8B" w14:textId="77777777" w:rsidR="00573680" w:rsidRPr="00761055" w:rsidRDefault="00573680">
            <w:pPr>
              <w:jc w:val="right"/>
              <w:rPr>
                <w:rFonts w:cstheme="minorHAnsi"/>
                <w:color w:val="000000"/>
                <w:sz w:val="18"/>
                <w:szCs w:val="18"/>
              </w:rPr>
            </w:pPr>
            <w:r w:rsidRPr="00761055">
              <w:rPr>
                <w:rFonts w:cstheme="minorHAnsi"/>
                <w:color w:val="000000"/>
                <w:sz w:val="18"/>
                <w:szCs w:val="18"/>
              </w:rPr>
              <w:t>2,3%</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8C" w14:textId="77777777" w:rsidR="00573680" w:rsidRPr="00761055" w:rsidRDefault="00573680">
            <w:pPr>
              <w:jc w:val="right"/>
              <w:rPr>
                <w:rFonts w:cstheme="minorHAnsi"/>
                <w:color w:val="000000"/>
                <w:sz w:val="18"/>
                <w:szCs w:val="18"/>
              </w:rPr>
            </w:pPr>
            <w:r w:rsidRPr="00761055">
              <w:rPr>
                <w:rFonts w:cstheme="minorHAnsi"/>
                <w:color w:val="000000"/>
                <w:sz w:val="18"/>
                <w:szCs w:val="18"/>
              </w:rPr>
              <w:t>1,2%</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8D" w14:textId="77777777" w:rsidR="00573680" w:rsidRPr="00761055" w:rsidRDefault="00573680">
            <w:pPr>
              <w:jc w:val="right"/>
              <w:rPr>
                <w:rFonts w:cstheme="minorHAnsi"/>
                <w:color w:val="000000"/>
                <w:sz w:val="18"/>
                <w:szCs w:val="18"/>
              </w:rPr>
            </w:pPr>
            <w:r w:rsidRPr="00761055">
              <w:rPr>
                <w:rFonts w:cstheme="minorHAnsi"/>
                <w:color w:val="000000"/>
                <w:sz w:val="18"/>
                <w:szCs w:val="18"/>
              </w:rPr>
              <w:t>103,6%</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8E" w14:textId="77777777" w:rsidR="00573680" w:rsidRPr="00761055" w:rsidRDefault="00573680">
            <w:pPr>
              <w:jc w:val="right"/>
              <w:rPr>
                <w:rFonts w:cstheme="minorHAnsi"/>
                <w:color w:val="000000"/>
                <w:sz w:val="18"/>
                <w:szCs w:val="18"/>
              </w:rPr>
            </w:pPr>
            <w:r w:rsidRPr="00761055">
              <w:rPr>
                <w:rFonts w:cstheme="minorHAnsi"/>
                <w:color w:val="000000"/>
                <w:sz w:val="18"/>
                <w:szCs w:val="18"/>
              </w:rPr>
              <w:t>103,4%</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8F" w14:textId="77777777" w:rsidR="00573680" w:rsidRPr="00761055" w:rsidRDefault="00573680">
            <w:pPr>
              <w:jc w:val="right"/>
              <w:rPr>
                <w:rFonts w:cstheme="minorHAnsi"/>
                <w:color w:val="000000"/>
                <w:sz w:val="18"/>
                <w:szCs w:val="18"/>
              </w:rPr>
            </w:pPr>
            <w:r w:rsidRPr="00761055">
              <w:rPr>
                <w:rFonts w:cstheme="minorHAnsi"/>
                <w:color w:val="000000"/>
                <w:sz w:val="18"/>
                <w:szCs w:val="18"/>
              </w:rPr>
              <w:t>102,7%</w:t>
            </w:r>
          </w:p>
        </w:tc>
      </w:tr>
      <w:tr w:rsidR="007A2E50" w:rsidRPr="00761055" w14:paraId="569F21A4" w14:textId="77777777" w:rsidTr="002F33BC">
        <w:trPr>
          <w:trHeight w:val="300"/>
        </w:trPr>
        <w:tc>
          <w:tcPr>
            <w:tcW w:w="2024" w:type="dxa"/>
            <w:tcBorders>
              <w:top w:val="nil"/>
              <w:left w:val="nil"/>
              <w:bottom w:val="nil"/>
              <w:right w:val="nil"/>
            </w:tcBorders>
            <w:shd w:val="clear" w:color="auto" w:fill="auto"/>
            <w:noWrap/>
            <w:vAlign w:val="bottom"/>
            <w:hideMark/>
          </w:tcPr>
          <w:p w14:paraId="569F2191"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Sliedrecht</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2" w14:textId="77777777" w:rsidR="00573680" w:rsidRPr="00761055" w:rsidRDefault="00573680">
            <w:pPr>
              <w:jc w:val="right"/>
              <w:rPr>
                <w:rFonts w:cstheme="minorHAnsi"/>
                <w:color w:val="000000"/>
                <w:sz w:val="18"/>
                <w:szCs w:val="18"/>
              </w:rPr>
            </w:pPr>
            <w:r w:rsidRPr="00761055">
              <w:rPr>
                <w:rFonts w:cstheme="minorHAnsi"/>
                <w:color w:val="000000"/>
                <w:sz w:val="18"/>
                <w:szCs w:val="18"/>
              </w:rPr>
              <w:t>44,0%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3" w14:textId="77777777" w:rsidR="00573680" w:rsidRPr="00761055" w:rsidRDefault="00573680">
            <w:pPr>
              <w:jc w:val="right"/>
              <w:rPr>
                <w:rFonts w:cstheme="minorHAnsi"/>
                <w:color w:val="000000"/>
                <w:sz w:val="18"/>
                <w:szCs w:val="18"/>
              </w:rPr>
            </w:pPr>
            <w:r w:rsidRPr="00761055">
              <w:rPr>
                <w:rFonts w:cstheme="minorHAnsi"/>
                <w:color w:val="000000"/>
                <w:sz w:val="18"/>
                <w:szCs w:val="18"/>
              </w:rPr>
              <w:t>35,0%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4" w14:textId="77777777" w:rsidR="00573680" w:rsidRPr="00761055" w:rsidRDefault="00573680">
            <w:pPr>
              <w:jc w:val="right"/>
              <w:rPr>
                <w:rFonts w:cstheme="minorHAnsi"/>
                <w:color w:val="000000"/>
                <w:sz w:val="18"/>
                <w:szCs w:val="18"/>
              </w:rPr>
            </w:pPr>
            <w:r w:rsidRPr="00761055">
              <w:rPr>
                <w:rFonts w:cstheme="minorHAnsi"/>
                <w:color w:val="000000"/>
                <w:sz w:val="18"/>
                <w:szCs w:val="18"/>
              </w:rPr>
              <w:t>31,2%</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5" w14:textId="77777777" w:rsidR="00573680" w:rsidRPr="00761055" w:rsidRDefault="00573680">
            <w:pPr>
              <w:jc w:val="right"/>
              <w:rPr>
                <w:rFonts w:cstheme="minorHAnsi"/>
                <w:color w:val="000000"/>
                <w:sz w:val="18"/>
                <w:szCs w:val="18"/>
              </w:rPr>
            </w:pPr>
            <w:r w:rsidRPr="00761055">
              <w:rPr>
                <w:rFonts w:cstheme="minorHAnsi"/>
                <w:color w:val="000000"/>
                <w:sz w:val="18"/>
                <w:szCs w:val="18"/>
              </w:rPr>
              <w:t>44,0%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6" w14:textId="77777777" w:rsidR="00573680" w:rsidRPr="00761055" w:rsidRDefault="00573680">
            <w:pPr>
              <w:jc w:val="right"/>
              <w:rPr>
                <w:rFonts w:cstheme="minorHAnsi"/>
                <w:color w:val="000000"/>
                <w:sz w:val="18"/>
                <w:szCs w:val="18"/>
              </w:rPr>
            </w:pPr>
            <w:r w:rsidRPr="00761055">
              <w:rPr>
                <w:rFonts w:cstheme="minorHAnsi"/>
                <w:color w:val="000000"/>
                <w:sz w:val="18"/>
                <w:szCs w:val="18"/>
              </w:rPr>
              <w:t>35,0%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7" w14:textId="77777777" w:rsidR="00573680" w:rsidRPr="00761055" w:rsidRDefault="00573680">
            <w:pPr>
              <w:jc w:val="right"/>
              <w:rPr>
                <w:rFonts w:cstheme="minorHAnsi"/>
                <w:color w:val="000000"/>
                <w:sz w:val="18"/>
                <w:szCs w:val="18"/>
              </w:rPr>
            </w:pPr>
            <w:r w:rsidRPr="00761055">
              <w:rPr>
                <w:rFonts w:cstheme="minorHAnsi"/>
                <w:color w:val="000000"/>
                <w:sz w:val="18"/>
                <w:szCs w:val="18"/>
              </w:rPr>
              <w:t>29,0%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98" w14:textId="77777777" w:rsidR="00573680" w:rsidRPr="00761055" w:rsidRDefault="00573680">
            <w:pPr>
              <w:jc w:val="right"/>
              <w:rPr>
                <w:rFonts w:cstheme="minorHAnsi"/>
                <w:color w:val="000000"/>
                <w:sz w:val="18"/>
                <w:szCs w:val="18"/>
              </w:rPr>
            </w:pPr>
            <w:r w:rsidRPr="00761055">
              <w:rPr>
                <w:rFonts w:cstheme="minorHAnsi"/>
                <w:color w:val="000000"/>
                <w:sz w:val="18"/>
                <w:szCs w:val="18"/>
              </w:rPr>
              <w:t>40,0%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99" w14:textId="77777777" w:rsidR="00573680" w:rsidRPr="00761055" w:rsidRDefault="00573680">
            <w:pPr>
              <w:jc w:val="right"/>
              <w:rPr>
                <w:rFonts w:cstheme="minorHAnsi"/>
                <w:color w:val="000000"/>
                <w:sz w:val="18"/>
                <w:szCs w:val="18"/>
              </w:rPr>
            </w:pPr>
            <w:r w:rsidRPr="00761055">
              <w:rPr>
                <w:rFonts w:cstheme="minorHAnsi"/>
                <w:color w:val="000000"/>
                <w:sz w:val="18"/>
                <w:szCs w:val="18"/>
              </w:rPr>
              <w:t>38,0%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9A" w14:textId="77777777" w:rsidR="00573680" w:rsidRPr="00761055" w:rsidRDefault="00573680">
            <w:pPr>
              <w:jc w:val="right"/>
              <w:rPr>
                <w:rFonts w:cstheme="minorHAnsi"/>
                <w:color w:val="000000"/>
                <w:sz w:val="18"/>
                <w:szCs w:val="18"/>
              </w:rPr>
            </w:pPr>
            <w:r w:rsidRPr="00761055">
              <w:rPr>
                <w:rFonts w:cstheme="minorHAnsi"/>
                <w:color w:val="000000"/>
                <w:sz w:val="18"/>
                <w:szCs w:val="18"/>
              </w:rPr>
              <w:t>37,4%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B" w14:textId="77777777" w:rsidR="00573680" w:rsidRPr="00761055" w:rsidRDefault="00573680">
            <w:pPr>
              <w:jc w:val="right"/>
              <w:rPr>
                <w:rFonts w:cstheme="minorHAnsi"/>
                <w:color w:val="000000"/>
                <w:sz w:val="18"/>
                <w:szCs w:val="18"/>
              </w:rPr>
            </w:pPr>
            <w:r w:rsidRPr="00761055">
              <w:rPr>
                <w:rFonts w:cstheme="minorHAnsi"/>
                <w:color w:val="000000"/>
                <w:sz w:val="18"/>
                <w:szCs w:val="18"/>
              </w:rPr>
              <w:t>9,0%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C" w14:textId="77777777" w:rsidR="00573680" w:rsidRPr="00761055" w:rsidRDefault="00573680">
            <w:pPr>
              <w:jc w:val="right"/>
              <w:rPr>
                <w:rFonts w:cstheme="minorHAnsi"/>
                <w:color w:val="000000"/>
                <w:sz w:val="18"/>
                <w:szCs w:val="18"/>
              </w:rPr>
            </w:pPr>
            <w:r w:rsidRPr="00761055">
              <w:rPr>
                <w:rFonts w:cstheme="minorHAnsi"/>
                <w:color w:val="000000"/>
                <w:sz w:val="18"/>
                <w:szCs w:val="18"/>
              </w:rPr>
              <w:t>12,0%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D" w14:textId="77777777" w:rsidR="00573680" w:rsidRPr="00761055" w:rsidRDefault="00573680">
            <w:pPr>
              <w:jc w:val="right"/>
              <w:rPr>
                <w:rFonts w:cstheme="minorHAnsi"/>
                <w:color w:val="000000"/>
                <w:sz w:val="18"/>
                <w:szCs w:val="18"/>
              </w:rPr>
            </w:pPr>
            <w:r w:rsidRPr="00761055">
              <w:rPr>
                <w:rFonts w:cstheme="minorHAnsi"/>
                <w:color w:val="000000"/>
                <w:sz w:val="18"/>
                <w:szCs w:val="18"/>
              </w:rPr>
              <w:t>5,9%</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E" w14:textId="77777777" w:rsidR="00573680" w:rsidRPr="00761055" w:rsidRDefault="00573680">
            <w:pPr>
              <w:jc w:val="right"/>
              <w:rPr>
                <w:rFonts w:cstheme="minorHAnsi"/>
                <w:color w:val="000000"/>
                <w:sz w:val="18"/>
                <w:szCs w:val="18"/>
              </w:rPr>
            </w:pPr>
            <w:r w:rsidRPr="00761055">
              <w:rPr>
                <w:rFonts w:cstheme="minorHAnsi"/>
                <w:color w:val="000000"/>
                <w:sz w:val="18"/>
                <w:szCs w:val="18"/>
              </w:rPr>
              <w:t>0,5%</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9F" w14:textId="77777777" w:rsidR="00573680" w:rsidRPr="00761055" w:rsidRDefault="00573680">
            <w:pPr>
              <w:jc w:val="right"/>
              <w:rPr>
                <w:rFonts w:cstheme="minorHAnsi"/>
                <w:color w:val="000000"/>
                <w:sz w:val="18"/>
                <w:szCs w:val="18"/>
              </w:rPr>
            </w:pPr>
            <w:r w:rsidRPr="00761055">
              <w:rPr>
                <w:rFonts w:cstheme="minorHAnsi"/>
                <w:color w:val="000000"/>
                <w:sz w:val="18"/>
                <w:szCs w:val="18"/>
              </w:rPr>
              <w:t>0,4%</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A0" w14:textId="77777777" w:rsidR="00573680" w:rsidRPr="00761055" w:rsidRDefault="00573680">
            <w:pPr>
              <w:jc w:val="right"/>
              <w:rPr>
                <w:rFonts w:cstheme="minorHAnsi"/>
                <w:color w:val="000000"/>
                <w:sz w:val="18"/>
                <w:szCs w:val="18"/>
              </w:rPr>
            </w:pPr>
            <w:r w:rsidRPr="00761055">
              <w:rPr>
                <w:rFonts w:cstheme="minorHAnsi"/>
                <w:color w:val="000000"/>
                <w:sz w:val="18"/>
                <w:szCs w:val="18"/>
              </w:rPr>
              <w:t>1,7%</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A1" w14:textId="77777777" w:rsidR="00573680" w:rsidRPr="00761055" w:rsidRDefault="00573680">
            <w:pPr>
              <w:jc w:val="right"/>
              <w:rPr>
                <w:rFonts w:cstheme="minorHAnsi"/>
                <w:color w:val="000000"/>
                <w:sz w:val="18"/>
                <w:szCs w:val="18"/>
              </w:rPr>
            </w:pPr>
            <w:r w:rsidRPr="00761055">
              <w:rPr>
                <w:rFonts w:cstheme="minorHAnsi"/>
                <w:color w:val="000000"/>
                <w:sz w:val="18"/>
                <w:szCs w:val="18"/>
              </w:rPr>
              <w:t>84,8%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A2" w14:textId="77777777" w:rsidR="00573680" w:rsidRPr="00761055" w:rsidRDefault="00573680">
            <w:pPr>
              <w:jc w:val="right"/>
              <w:rPr>
                <w:rFonts w:cstheme="minorHAnsi"/>
                <w:color w:val="000000"/>
                <w:sz w:val="18"/>
                <w:szCs w:val="18"/>
              </w:rPr>
            </w:pPr>
            <w:r w:rsidRPr="00761055">
              <w:rPr>
                <w:rFonts w:cstheme="minorHAnsi"/>
                <w:color w:val="000000"/>
                <w:sz w:val="18"/>
                <w:szCs w:val="18"/>
              </w:rPr>
              <w:t>81,5%</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A3" w14:textId="77777777" w:rsidR="00573680" w:rsidRPr="00761055" w:rsidRDefault="00573680">
            <w:pPr>
              <w:jc w:val="right"/>
              <w:rPr>
                <w:rFonts w:cstheme="minorHAnsi"/>
                <w:color w:val="000000"/>
                <w:sz w:val="18"/>
                <w:szCs w:val="18"/>
              </w:rPr>
            </w:pPr>
            <w:r w:rsidRPr="00761055">
              <w:rPr>
                <w:rFonts w:cstheme="minorHAnsi"/>
                <w:color w:val="000000"/>
                <w:sz w:val="18"/>
                <w:szCs w:val="18"/>
              </w:rPr>
              <w:t>85,5%</w:t>
            </w:r>
          </w:p>
        </w:tc>
      </w:tr>
      <w:tr w:rsidR="007A2E50" w:rsidRPr="00761055" w14:paraId="569F21B8" w14:textId="77777777" w:rsidTr="002F33BC">
        <w:trPr>
          <w:trHeight w:val="300"/>
        </w:trPr>
        <w:tc>
          <w:tcPr>
            <w:tcW w:w="2024" w:type="dxa"/>
            <w:tcBorders>
              <w:top w:val="nil"/>
              <w:left w:val="nil"/>
              <w:bottom w:val="nil"/>
              <w:right w:val="nil"/>
            </w:tcBorders>
            <w:shd w:val="clear" w:color="auto" w:fill="auto"/>
            <w:noWrap/>
            <w:vAlign w:val="bottom"/>
            <w:hideMark/>
          </w:tcPr>
          <w:p w14:paraId="569F21A5"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Strijen</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A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A7"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A8" w14:textId="77777777" w:rsidR="00573680" w:rsidRPr="00761055" w:rsidRDefault="00573680">
            <w:pPr>
              <w:jc w:val="right"/>
              <w:rPr>
                <w:rFonts w:cstheme="minorHAnsi"/>
                <w:color w:val="000000"/>
                <w:sz w:val="18"/>
                <w:szCs w:val="18"/>
              </w:rPr>
            </w:pPr>
            <w:r w:rsidRPr="00761055">
              <w:rPr>
                <w:rFonts w:cstheme="minorHAnsi"/>
                <w:color w:val="000000"/>
                <w:sz w:val="18"/>
                <w:szCs w:val="18"/>
              </w:rPr>
              <w:t>46,1%</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A9"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A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AB" w14:textId="77777777" w:rsidR="00573680" w:rsidRPr="00761055" w:rsidRDefault="00573680">
            <w:pPr>
              <w:jc w:val="right"/>
              <w:rPr>
                <w:rFonts w:cstheme="minorHAnsi"/>
                <w:color w:val="000000"/>
                <w:sz w:val="18"/>
                <w:szCs w:val="18"/>
              </w:rPr>
            </w:pPr>
            <w:r w:rsidRPr="00761055">
              <w:rPr>
                <w:rFonts w:cstheme="minorHAnsi"/>
                <w:color w:val="000000"/>
                <w:sz w:val="18"/>
                <w:szCs w:val="18"/>
              </w:rPr>
              <w:t>-3,7%</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AC"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AD"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AE" w14:textId="77777777" w:rsidR="00573680" w:rsidRPr="00761055" w:rsidRDefault="00573680">
            <w:pPr>
              <w:jc w:val="right"/>
              <w:rPr>
                <w:rFonts w:cstheme="minorHAnsi"/>
                <w:color w:val="000000"/>
                <w:sz w:val="18"/>
                <w:szCs w:val="18"/>
              </w:rPr>
            </w:pPr>
            <w:r w:rsidRPr="00761055">
              <w:rPr>
                <w:rFonts w:cstheme="minorHAnsi"/>
                <w:color w:val="000000"/>
                <w:sz w:val="18"/>
                <w:szCs w:val="18"/>
              </w:rPr>
              <w:t>30,6%</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AF"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B0"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B1" w14:textId="77777777" w:rsidR="00573680" w:rsidRPr="00761055" w:rsidRDefault="00573680">
            <w:pPr>
              <w:jc w:val="right"/>
              <w:rPr>
                <w:rFonts w:cstheme="minorHAnsi"/>
                <w:color w:val="000000"/>
                <w:sz w:val="18"/>
                <w:szCs w:val="18"/>
              </w:rPr>
            </w:pPr>
            <w:r w:rsidRPr="00761055">
              <w:rPr>
                <w:rFonts w:cstheme="minorHAnsi"/>
                <w:color w:val="000000"/>
                <w:sz w:val="18"/>
                <w:szCs w:val="18"/>
              </w:rPr>
              <w:t>22,3%</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B2"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B3"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B4"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B5"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B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B7" w14:textId="77777777" w:rsidR="00573680" w:rsidRPr="00761055" w:rsidRDefault="00573680">
            <w:pPr>
              <w:jc w:val="right"/>
              <w:rPr>
                <w:rFonts w:cstheme="minorHAnsi"/>
                <w:color w:val="000000"/>
                <w:sz w:val="18"/>
                <w:szCs w:val="18"/>
              </w:rPr>
            </w:pPr>
            <w:r w:rsidRPr="00761055">
              <w:rPr>
                <w:rFonts w:cstheme="minorHAnsi"/>
                <w:color w:val="000000"/>
                <w:sz w:val="18"/>
                <w:szCs w:val="18"/>
              </w:rPr>
              <w:t>83,0%</w:t>
            </w:r>
          </w:p>
        </w:tc>
      </w:tr>
      <w:tr w:rsidR="002F33BC" w:rsidRPr="00761055" w14:paraId="569F21C1" w14:textId="77777777" w:rsidTr="00266B5B">
        <w:trPr>
          <w:trHeight w:val="300"/>
        </w:trPr>
        <w:tc>
          <w:tcPr>
            <w:tcW w:w="2024" w:type="dxa"/>
            <w:tcBorders>
              <w:top w:val="nil"/>
              <w:left w:val="nil"/>
              <w:bottom w:val="nil"/>
              <w:right w:val="nil"/>
            </w:tcBorders>
            <w:shd w:val="clear" w:color="auto" w:fill="auto"/>
            <w:noWrap/>
            <w:vAlign w:val="bottom"/>
          </w:tcPr>
          <w:p w14:paraId="569F21B9" w14:textId="77777777" w:rsidR="002F33BC" w:rsidRPr="00761055" w:rsidRDefault="002F33BC" w:rsidP="0042408F">
            <w:pPr>
              <w:spacing w:line="240" w:lineRule="auto"/>
              <w:rPr>
                <w:rFonts w:eastAsia="Times New Roman" w:cstheme="minorHAnsi"/>
                <w:color w:val="000000"/>
                <w:sz w:val="18"/>
                <w:szCs w:val="18"/>
              </w:rPr>
            </w:pPr>
          </w:p>
        </w:tc>
        <w:tc>
          <w:tcPr>
            <w:tcW w:w="20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1BA" w14:textId="77777777" w:rsidR="002F33BC" w:rsidRPr="00573680" w:rsidRDefault="002F33BC" w:rsidP="0065317A">
            <w:pPr>
              <w:jc w:val="center"/>
              <w:rPr>
                <w:rFonts w:cstheme="minorHAnsi"/>
                <w:b/>
                <w:color w:val="000000"/>
                <w:sz w:val="18"/>
                <w:szCs w:val="18"/>
              </w:rPr>
            </w:pPr>
            <w:r>
              <w:rPr>
                <w:rFonts w:cstheme="minorHAnsi"/>
                <w:b/>
                <w:color w:val="000000"/>
                <w:sz w:val="18"/>
                <w:szCs w:val="18"/>
              </w:rPr>
              <w:t>Netto schuldquote</w:t>
            </w:r>
          </w:p>
        </w:tc>
        <w:tc>
          <w:tcPr>
            <w:tcW w:w="20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1BB" w14:textId="77777777" w:rsidR="002F33BC" w:rsidRDefault="002F33BC" w:rsidP="0065317A">
            <w:pPr>
              <w:rPr>
                <w:rFonts w:cstheme="minorHAnsi"/>
                <w:b/>
                <w:color w:val="000000"/>
                <w:sz w:val="18"/>
                <w:szCs w:val="18"/>
              </w:rPr>
            </w:pPr>
          </w:p>
          <w:p w14:paraId="569F21BC" w14:textId="77777777" w:rsidR="002F33BC" w:rsidRPr="00573680" w:rsidRDefault="002F33BC" w:rsidP="0065317A">
            <w:pPr>
              <w:jc w:val="center"/>
              <w:rPr>
                <w:rFonts w:cstheme="minorHAnsi"/>
                <w:b/>
                <w:color w:val="000000"/>
                <w:sz w:val="18"/>
                <w:szCs w:val="18"/>
              </w:rPr>
            </w:pPr>
            <w:r>
              <w:rPr>
                <w:rFonts w:cstheme="minorHAnsi"/>
                <w:b/>
                <w:color w:val="000000"/>
                <w:sz w:val="18"/>
                <w:szCs w:val="18"/>
              </w:rPr>
              <w:t>Netto schuldquote gecorrigeerd voor verstrekte leningen</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1BD" w14:textId="77777777" w:rsidR="002F33BC" w:rsidRPr="00761055" w:rsidRDefault="002F33BC" w:rsidP="0065317A">
            <w:pPr>
              <w:jc w:val="center"/>
              <w:rPr>
                <w:rFonts w:cstheme="minorHAnsi"/>
                <w:color w:val="000000"/>
                <w:sz w:val="18"/>
                <w:szCs w:val="18"/>
              </w:rPr>
            </w:pPr>
            <w:r w:rsidRPr="00761055">
              <w:rPr>
                <w:rFonts w:eastAsia="Times New Roman" w:cstheme="minorHAnsi"/>
                <w:b/>
                <w:bCs/>
                <w:color w:val="000000"/>
                <w:sz w:val="18"/>
                <w:szCs w:val="18"/>
              </w:rPr>
              <w:t>Solvabiliteit</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1BE" w14:textId="77777777" w:rsidR="002F33BC" w:rsidRPr="00761055" w:rsidRDefault="002F33BC" w:rsidP="0065317A">
            <w:pPr>
              <w:jc w:val="center"/>
              <w:rPr>
                <w:rFonts w:cstheme="minorHAnsi"/>
                <w:color w:val="000000"/>
                <w:sz w:val="18"/>
                <w:szCs w:val="18"/>
              </w:rPr>
            </w:pPr>
            <w:r w:rsidRPr="00761055">
              <w:rPr>
                <w:rFonts w:eastAsia="Times New Roman" w:cstheme="minorHAnsi"/>
                <w:b/>
                <w:bCs/>
                <w:color w:val="000000"/>
                <w:sz w:val="18"/>
                <w:szCs w:val="18"/>
              </w:rPr>
              <w:t>Grondexploitatie</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1BF" w14:textId="77777777" w:rsidR="002F33BC" w:rsidRPr="002F33BC" w:rsidRDefault="002F33BC" w:rsidP="0065317A">
            <w:pPr>
              <w:jc w:val="center"/>
              <w:rPr>
                <w:rFonts w:cstheme="minorHAnsi"/>
                <w:b/>
                <w:color w:val="000000"/>
                <w:sz w:val="18"/>
                <w:szCs w:val="18"/>
              </w:rPr>
            </w:pPr>
            <w:r>
              <w:rPr>
                <w:rFonts w:cstheme="minorHAnsi"/>
                <w:b/>
                <w:color w:val="000000"/>
                <w:sz w:val="18"/>
                <w:szCs w:val="18"/>
              </w:rPr>
              <w:t>Structurele exploitatie ruimte</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9F21C0" w14:textId="77777777" w:rsidR="002F33BC" w:rsidRPr="00761055" w:rsidRDefault="002F33BC" w:rsidP="0065317A">
            <w:pPr>
              <w:jc w:val="center"/>
              <w:rPr>
                <w:rFonts w:cstheme="minorHAnsi"/>
                <w:color w:val="000000"/>
                <w:sz w:val="18"/>
                <w:szCs w:val="18"/>
              </w:rPr>
            </w:pPr>
            <w:r w:rsidRPr="00761055">
              <w:rPr>
                <w:rFonts w:eastAsia="Times New Roman" w:cstheme="minorHAnsi"/>
                <w:b/>
                <w:bCs/>
                <w:color w:val="000000"/>
                <w:sz w:val="18"/>
                <w:szCs w:val="18"/>
              </w:rPr>
              <w:t>Belastingcapaciteit</w:t>
            </w:r>
          </w:p>
        </w:tc>
      </w:tr>
      <w:tr w:rsidR="007A2E50" w:rsidRPr="00761055" w14:paraId="569F21D5" w14:textId="77777777" w:rsidTr="002F33BC">
        <w:trPr>
          <w:trHeight w:val="300"/>
        </w:trPr>
        <w:tc>
          <w:tcPr>
            <w:tcW w:w="2024" w:type="dxa"/>
            <w:tcBorders>
              <w:top w:val="nil"/>
              <w:left w:val="nil"/>
              <w:bottom w:val="nil"/>
              <w:right w:val="nil"/>
            </w:tcBorders>
            <w:shd w:val="clear" w:color="auto" w:fill="auto"/>
            <w:noWrap/>
            <w:vAlign w:val="bottom"/>
            <w:hideMark/>
          </w:tcPr>
          <w:p w14:paraId="569F21C2"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Teylingen</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3" w14:textId="77777777" w:rsidR="00573680" w:rsidRPr="00761055" w:rsidRDefault="00573680">
            <w:pPr>
              <w:jc w:val="right"/>
              <w:rPr>
                <w:rFonts w:cstheme="minorHAnsi"/>
                <w:color w:val="000000"/>
                <w:sz w:val="18"/>
                <w:szCs w:val="18"/>
              </w:rPr>
            </w:pPr>
            <w:r w:rsidRPr="00761055">
              <w:rPr>
                <w:rFonts w:cstheme="minorHAnsi"/>
                <w:color w:val="000000"/>
                <w:sz w:val="18"/>
                <w:szCs w:val="18"/>
              </w:rPr>
              <w:t>1,0%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4" w14:textId="77777777" w:rsidR="00573680" w:rsidRPr="00761055" w:rsidRDefault="00573680">
            <w:pPr>
              <w:jc w:val="right"/>
              <w:rPr>
                <w:rFonts w:cstheme="minorHAnsi"/>
                <w:color w:val="000000"/>
                <w:sz w:val="18"/>
                <w:szCs w:val="18"/>
              </w:rPr>
            </w:pPr>
            <w:r w:rsidRPr="00761055">
              <w:rPr>
                <w:rFonts w:cstheme="minorHAnsi"/>
                <w:color w:val="000000"/>
                <w:sz w:val="18"/>
                <w:szCs w:val="18"/>
              </w:rPr>
              <w:t>1,8%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5" w14:textId="77777777" w:rsidR="00573680" w:rsidRPr="00761055" w:rsidRDefault="00573680">
            <w:pPr>
              <w:jc w:val="right"/>
              <w:rPr>
                <w:rFonts w:cstheme="minorHAnsi"/>
                <w:color w:val="000000"/>
                <w:sz w:val="18"/>
                <w:szCs w:val="18"/>
              </w:rPr>
            </w:pPr>
            <w:r w:rsidRPr="00761055">
              <w:rPr>
                <w:rFonts w:cstheme="minorHAnsi"/>
                <w:color w:val="000000"/>
                <w:sz w:val="18"/>
                <w:szCs w:val="18"/>
              </w:rPr>
              <w:t>10,4%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6" w14:textId="77777777" w:rsidR="00573680" w:rsidRPr="00761055" w:rsidRDefault="00573680">
            <w:pPr>
              <w:jc w:val="right"/>
              <w:rPr>
                <w:rFonts w:cstheme="minorHAnsi"/>
                <w:color w:val="000000"/>
                <w:sz w:val="18"/>
                <w:szCs w:val="18"/>
              </w:rPr>
            </w:pPr>
            <w:r w:rsidRPr="00761055">
              <w:rPr>
                <w:rFonts w:cstheme="minorHAnsi"/>
                <w:color w:val="000000"/>
                <w:sz w:val="18"/>
                <w:szCs w:val="18"/>
              </w:rPr>
              <w:t>-34,8%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7" w14:textId="77777777" w:rsidR="00573680" w:rsidRPr="00761055" w:rsidRDefault="00573680">
            <w:pPr>
              <w:jc w:val="right"/>
              <w:rPr>
                <w:rFonts w:cstheme="minorHAnsi"/>
                <w:color w:val="000000"/>
                <w:sz w:val="18"/>
                <w:szCs w:val="18"/>
              </w:rPr>
            </w:pPr>
            <w:r w:rsidRPr="00761055">
              <w:rPr>
                <w:rFonts w:cstheme="minorHAnsi"/>
                <w:color w:val="000000"/>
                <w:sz w:val="18"/>
                <w:szCs w:val="18"/>
              </w:rPr>
              <w:t>-11,9%</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8" w14:textId="77777777" w:rsidR="00573680" w:rsidRPr="00761055" w:rsidRDefault="00573680">
            <w:pPr>
              <w:jc w:val="right"/>
              <w:rPr>
                <w:rFonts w:cstheme="minorHAnsi"/>
                <w:color w:val="000000"/>
                <w:sz w:val="18"/>
                <w:szCs w:val="18"/>
              </w:rPr>
            </w:pPr>
            <w:r w:rsidRPr="00761055">
              <w:rPr>
                <w:rFonts w:cstheme="minorHAnsi"/>
                <w:color w:val="000000"/>
                <w:sz w:val="18"/>
                <w:szCs w:val="18"/>
              </w:rPr>
              <w:t>-2,7%</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9" w14:textId="77777777" w:rsidR="00573680" w:rsidRPr="00761055" w:rsidRDefault="00573680">
            <w:pPr>
              <w:jc w:val="right"/>
              <w:rPr>
                <w:rFonts w:cstheme="minorHAnsi"/>
                <w:color w:val="000000"/>
                <w:sz w:val="18"/>
                <w:szCs w:val="18"/>
              </w:rPr>
            </w:pPr>
            <w:r w:rsidRPr="00761055">
              <w:rPr>
                <w:rFonts w:cstheme="minorHAnsi"/>
                <w:color w:val="000000"/>
                <w:sz w:val="18"/>
                <w:szCs w:val="18"/>
              </w:rPr>
              <w:t>67,6%</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A" w14:textId="77777777" w:rsidR="00573680" w:rsidRPr="00761055" w:rsidRDefault="00573680">
            <w:pPr>
              <w:jc w:val="right"/>
              <w:rPr>
                <w:rFonts w:cstheme="minorHAnsi"/>
                <w:color w:val="000000"/>
                <w:sz w:val="18"/>
                <w:szCs w:val="18"/>
              </w:rPr>
            </w:pPr>
            <w:r w:rsidRPr="00761055">
              <w:rPr>
                <w:rFonts w:cstheme="minorHAnsi"/>
                <w:color w:val="000000"/>
                <w:sz w:val="18"/>
                <w:szCs w:val="18"/>
              </w:rPr>
              <w:t>60,8%</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B" w14:textId="77777777" w:rsidR="00573680" w:rsidRPr="00761055" w:rsidRDefault="00573680">
            <w:pPr>
              <w:jc w:val="right"/>
              <w:rPr>
                <w:rFonts w:cstheme="minorHAnsi"/>
                <w:color w:val="000000"/>
                <w:sz w:val="18"/>
                <w:szCs w:val="18"/>
              </w:rPr>
            </w:pPr>
            <w:r w:rsidRPr="00761055">
              <w:rPr>
                <w:rFonts w:cstheme="minorHAnsi"/>
                <w:color w:val="000000"/>
                <w:sz w:val="18"/>
                <w:szCs w:val="18"/>
              </w:rPr>
              <w:t>57,5%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CC" w14:textId="77777777" w:rsidR="00573680" w:rsidRPr="00761055" w:rsidRDefault="00573680">
            <w:pPr>
              <w:jc w:val="right"/>
              <w:rPr>
                <w:rFonts w:cstheme="minorHAnsi"/>
                <w:color w:val="000000"/>
                <w:sz w:val="18"/>
                <w:szCs w:val="18"/>
              </w:rPr>
            </w:pPr>
            <w:r w:rsidRPr="00761055">
              <w:rPr>
                <w:rFonts w:cstheme="minorHAnsi"/>
                <w:color w:val="000000"/>
                <w:sz w:val="18"/>
                <w:szCs w:val="18"/>
              </w:rPr>
              <w:t>20,2%</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D" w14:textId="77777777" w:rsidR="00573680" w:rsidRPr="00761055" w:rsidRDefault="00573680">
            <w:pPr>
              <w:jc w:val="right"/>
              <w:rPr>
                <w:rFonts w:cstheme="minorHAnsi"/>
                <w:color w:val="000000"/>
                <w:sz w:val="18"/>
                <w:szCs w:val="18"/>
              </w:rPr>
            </w:pPr>
            <w:r w:rsidRPr="00761055">
              <w:rPr>
                <w:rFonts w:cstheme="minorHAnsi"/>
                <w:color w:val="000000"/>
                <w:sz w:val="18"/>
                <w:szCs w:val="18"/>
              </w:rPr>
              <w:t>19,5%</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CE" w14:textId="77777777" w:rsidR="00573680" w:rsidRPr="00761055" w:rsidRDefault="00573680">
            <w:pPr>
              <w:jc w:val="right"/>
              <w:rPr>
                <w:rFonts w:cstheme="minorHAnsi"/>
                <w:color w:val="000000"/>
                <w:sz w:val="18"/>
                <w:szCs w:val="18"/>
              </w:rPr>
            </w:pPr>
            <w:r w:rsidRPr="00761055">
              <w:rPr>
                <w:rFonts w:cstheme="minorHAnsi"/>
                <w:color w:val="000000"/>
                <w:sz w:val="18"/>
                <w:szCs w:val="18"/>
              </w:rPr>
              <w:t>17,6%</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CF"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D0"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D1" w14:textId="77777777" w:rsidR="00573680" w:rsidRPr="00761055" w:rsidRDefault="00573680">
            <w:pPr>
              <w:jc w:val="right"/>
              <w:rPr>
                <w:rFonts w:cstheme="minorHAnsi"/>
                <w:color w:val="000000"/>
                <w:sz w:val="18"/>
                <w:szCs w:val="18"/>
              </w:rPr>
            </w:pPr>
            <w:r w:rsidRPr="00761055">
              <w:rPr>
                <w:rFonts w:cstheme="minorHAnsi"/>
                <w:color w:val="000000"/>
                <w:sz w:val="18"/>
                <w:szCs w:val="18"/>
              </w:rPr>
              <w:t>0,4%</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D2" w14:textId="77777777" w:rsidR="00573680" w:rsidRPr="00761055" w:rsidRDefault="00573680">
            <w:pPr>
              <w:jc w:val="right"/>
              <w:rPr>
                <w:rFonts w:cstheme="minorHAnsi"/>
                <w:color w:val="000000"/>
                <w:sz w:val="18"/>
                <w:szCs w:val="18"/>
              </w:rPr>
            </w:pPr>
            <w:r w:rsidRPr="00761055">
              <w:rPr>
                <w:rFonts w:cstheme="minorHAnsi"/>
                <w:color w:val="000000"/>
                <w:sz w:val="18"/>
                <w:szCs w:val="18"/>
              </w:rPr>
              <w:t>98,0%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D3" w14:textId="77777777" w:rsidR="00573680" w:rsidRPr="00761055" w:rsidRDefault="00573680">
            <w:pPr>
              <w:jc w:val="right"/>
              <w:rPr>
                <w:rFonts w:cstheme="minorHAnsi"/>
                <w:color w:val="000000"/>
                <w:sz w:val="18"/>
                <w:szCs w:val="18"/>
              </w:rPr>
            </w:pPr>
            <w:r w:rsidRPr="00761055">
              <w:rPr>
                <w:rFonts w:cstheme="minorHAnsi"/>
                <w:color w:val="000000"/>
                <w:sz w:val="18"/>
                <w:szCs w:val="18"/>
              </w:rPr>
              <w:t>96,8%</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D4" w14:textId="77777777" w:rsidR="00573680" w:rsidRPr="00761055" w:rsidRDefault="00573680">
            <w:pPr>
              <w:jc w:val="right"/>
              <w:rPr>
                <w:rFonts w:cstheme="minorHAnsi"/>
                <w:color w:val="000000"/>
                <w:sz w:val="18"/>
                <w:szCs w:val="18"/>
              </w:rPr>
            </w:pPr>
            <w:r w:rsidRPr="00761055">
              <w:rPr>
                <w:rFonts w:cstheme="minorHAnsi"/>
                <w:color w:val="000000"/>
                <w:sz w:val="18"/>
                <w:szCs w:val="18"/>
              </w:rPr>
              <w:t>93,0%</w:t>
            </w:r>
          </w:p>
        </w:tc>
      </w:tr>
      <w:tr w:rsidR="007A2E50" w:rsidRPr="00761055" w14:paraId="569F21E9" w14:textId="77777777" w:rsidTr="002F33BC">
        <w:trPr>
          <w:trHeight w:val="300"/>
        </w:trPr>
        <w:tc>
          <w:tcPr>
            <w:tcW w:w="2024" w:type="dxa"/>
            <w:tcBorders>
              <w:top w:val="nil"/>
              <w:left w:val="nil"/>
              <w:bottom w:val="nil"/>
              <w:right w:val="nil"/>
            </w:tcBorders>
            <w:shd w:val="clear" w:color="auto" w:fill="auto"/>
            <w:noWrap/>
            <w:vAlign w:val="bottom"/>
            <w:hideMark/>
          </w:tcPr>
          <w:p w14:paraId="569F21D6"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Vlaardingen</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D7" w14:textId="77777777" w:rsidR="00573680" w:rsidRPr="00761055" w:rsidRDefault="00573680">
            <w:pPr>
              <w:jc w:val="right"/>
              <w:rPr>
                <w:rFonts w:cstheme="minorHAnsi"/>
                <w:color w:val="000000"/>
                <w:sz w:val="18"/>
                <w:szCs w:val="18"/>
              </w:rPr>
            </w:pPr>
            <w:r w:rsidRPr="00761055">
              <w:rPr>
                <w:rFonts w:cstheme="minorHAnsi"/>
                <w:color w:val="000000"/>
                <w:sz w:val="18"/>
                <w:szCs w:val="18"/>
              </w:rPr>
              <w:t>127,7%</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D8" w14:textId="77777777" w:rsidR="00573680" w:rsidRPr="00761055" w:rsidRDefault="00573680">
            <w:pPr>
              <w:jc w:val="right"/>
              <w:rPr>
                <w:rFonts w:cstheme="minorHAnsi"/>
                <w:color w:val="000000"/>
                <w:sz w:val="18"/>
                <w:szCs w:val="18"/>
              </w:rPr>
            </w:pPr>
            <w:r w:rsidRPr="00761055">
              <w:rPr>
                <w:rFonts w:cstheme="minorHAnsi"/>
                <w:color w:val="000000"/>
                <w:sz w:val="18"/>
                <w:szCs w:val="18"/>
              </w:rPr>
              <w:t>114,9%</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D9" w14:textId="77777777" w:rsidR="00573680" w:rsidRPr="00761055" w:rsidRDefault="00573680">
            <w:pPr>
              <w:jc w:val="right"/>
              <w:rPr>
                <w:rFonts w:cstheme="minorHAnsi"/>
                <w:color w:val="000000"/>
                <w:sz w:val="18"/>
                <w:szCs w:val="18"/>
              </w:rPr>
            </w:pPr>
            <w:r w:rsidRPr="00761055">
              <w:rPr>
                <w:rFonts w:cstheme="minorHAnsi"/>
                <w:color w:val="000000"/>
                <w:sz w:val="18"/>
                <w:szCs w:val="18"/>
              </w:rPr>
              <w:t>117,1%</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DA" w14:textId="77777777" w:rsidR="00573680" w:rsidRPr="00761055" w:rsidRDefault="00573680">
            <w:pPr>
              <w:jc w:val="right"/>
              <w:rPr>
                <w:rFonts w:cstheme="minorHAnsi"/>
                <w:color w:val="000000"/>
                <w:sz w:val="18"/>
                <w:szCs w:val="18"/>
              </w:rPr>
            </w:pPr>
            <w:r w:rsidRPr="00761055">
              <w:rPr>
                <w:rFonts w:cstheme="minorHAnsi"/>
                <w:color w:val="000000"/>
                <w:sz w:val="18"/>
                <w:szCs w:val="18"/>
              </w:rPr>
              <w:t>128,7%</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DB" w14:textId="77777777" w:rsidR="00573680" w:rsidRPr="00761055" w:rsidRDefault="00573680">
            <w:pPr>
              <w:jc w:val="right"/>
              <w:rPr>
                <w:rFonts w:cstheme="minorHAnsi"/>
                <w:color w:val="000000"/>
                <w:sz w:val="18"/>
                <w:szCs w:val="18"/>
              </w:rPr>
            </w:pPr>
            <w:r w:rsidRPr="00761055">
              <w:rPr>
                <w:rFonts w:cstheme="minorHAnsi"/>
                <w:color w:val="000000"/>
                <w:sz w:val="18"/>
                <w:szCs w:val="18"/>
              </w:rPr>
              <w:t>115,8%</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DC" w14:textId="77777777" w:rsidR="00573680" w:rsidRPr="00761055" w:rsidRDefault="00573680">
            <w:pPr>
              <w:jc w:val="right"/>
              <w:rPr>
                <w:rFonts w:cstheme="minorHAnsi"/>
                <w:color w:val="000000"/>
                <w:sz w:val="18"/>
                <w:szCs w:val="18"/>
              </w:rPr>
            </w:pPr>
            <w:r w:rsidRPr="00761055">
              <w:rPr>
                <w:rFonts w:cstheme="minorHAnsi"/>
                <w:color w:val="000000"/>
                <w:sz w:val="18"/>
                <w:szCs w:val="18"/>
              </w:rPr>
              <w:t>118,0%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DD" w14:textId="77777777" w:rsidR="00573680" w:rsidRPr="00761055" w:rsidRDefault="00573680">
            <w:pPr>
              <w:jc w:val="right"/>
              <w:rPr>
                <w:rFonts w:cstheme="minorHAnsi"/>
                <w:color w:val="000000"/>
                <w:sz w:val="18"/>
                <w:szCs w:val="18"/>
              </w:rPr>
            </w:pPr>
            <w:r w:rsidRPr="00761055">
              <w:rPr>
                <w:rFonts w:cstheme="minorHAnsi"/>
                <w:color w:val="000000"/>
                <w:sz w:val="18"/>
                <w:szCs w:val="18"/>
              </w:rPr>
              <w:t>15,0%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DE" w14:textId="77777777" w:rsidR="00573680" w:rsidRPr="00761055" w:rsidRDefault="00573680">
            <w:pPr>
              <w:jc w:val="right"/>
              <w:rPr>
                <w:rFonts w:cstheme="minorHAnsi"/>
                <w:color w:val="000000"/>
                <w:sz w:val="18"/>
                <w:szCs w:val="18"/>
              </w:rPr>
            </w:pPr>
            <w:r w:rsidRPr="00761055">
              <w:rPr>
                <w:rFonts w:cstheme="minorHAnsi"/>
                <w:color w:val="000000"/>
                <w:sz w:val="18"/>
                <w:szCs w:val="18"/>
              </w:rPr>
              <w:t>15,7%</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DF" w14:textId="77777777" w:rsidR="00573680" w:rsidRPr="00761055" w:rsidRDefault="00573680">
            <w:pPr>
              <w:jc w:val="right"/>
              <w:rPr>
                <w:rFonts w:cstheme="minorHAnsi"/>
                <w:color w:val="000000"/>
                <w:sz w:val="18"/>
                <w:szCs w:val="18"/>
              </w:rPr>
            </w:pPr>
            <w:r w:rsidRPr="00761055">
              <w:rPr>
                <w:rFonts w:cstheme="minorHAnsi"/>
                <w:color w:val="000000"/>
                <w:sz w:val="18"/>
                <w:szCs w:val="18"/>
              </w:rPr>
              <w:t>16,3%</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0" w14:textId="77777777" w:rsidR="00573680" w:rsidRPr="00761055" w:rsidRDefault="00573680">
            <w:pPr>
              <w:jc w:val="right"/>
              <w:rPr>
                <w:rFonts w:cstheme="minorHAnsi"/>
                <w:color w:val="000000"/>
                <w:sz w:val="18"/>
                <w:szCs w:val="18"/>
              </w:rPr>
            </w:pPr>
            <w:r w:rsidRPr="00761055">
              <w:rPr>
                <w:rFonts w:cstheme="minorHAnsi"/>
                <w:color w:val="000000"/>
                <w:sz w:val="18"/>
                <w:szCs w:val="18"/>
              </w:rPr>
              <w:t>12,3%</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1" w14:textId="77777777" w:rsidR="00573680" w:rsidRPr="00761055" w:rsidRDefault="00573680">
            <w:pPr>
              <w:jc w:val="right"/>
              <w:rPr>
                <w:rFonts w:cstheme="minorHAnsi"/>
                <w:color w:val="000000"/>
                <w:sz w:val="18"/>
                <w:szCs w:val="18"/>
              </w:rPr>
            </w:pPr>
            <w:r w:rsidRPr="00761055">
              <w:rPr>
                <w:rFonts w:cstheme="minorHAnsi"/>
                <w:color w:val="000000"/>
                <w:sz w:val="18"/>
                <w:szCs w:val="18"/>
              </w:rPr>
              <w:t>14,9%</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2" w14:textId="77777777" w:rsidR="00573680" w:rsidRPr="00761055" w:rsidRDefault="00573680">
            <w:pPr>
              <w:jc w:val="right"/>
              <w:rPr>
                <w:rFonts w:cstheme="minorHAnsi"/>
                <w:color w:val="000000"/>
                <w:sz w:val="18"/>
                <w:szCs w:val="18"/>
              </w:rPr>
            </w:pPr>
            <w:r w:rsidRPr="00761055">
              <w:rPr>
                <w:rFonts w:cstheme="minorHAnsi"/>
                <w:color w:val="000000"/>
                <w:sz w:val="18"/>
                <w:szCs w:val="18"/>
              </w:rPr>
              <w:t>13,4%</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3" w14:textId="77777777" w:rsidR="00573680" w:rsidRPr="00761055" w:rsidRDefault="00573680">
            <w:pPr>
              <w:jc w:val="right"/>
              <w:rPr>
                <w:rFonts w:cstheme="minorHAnsi"/>
                <w:color w:val="000000"/>
                <w:sz w:val="18"/>
                <w:szCs w:val="18"/>
              </w:rPr>
            </w:pPr>
            <w:r w:rsidRPr="00761055">
              <w:rPr>
                <w:rFonts w:cstheme="minorHAnsi"/>
                <w:color w:val="000000"/>
                <w:sz w:val="18"/>
                <w:szCs w:val="18"/>
              </w:rPr>
              <w:t>4,9%</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4" w14:textId="77777777" w:rsidR="00573680" w:rsidRPr="00761055" w:rsidRDefault="00573680">
            <w:pPr>
              <w:jc w:val="right"/>
              <w:rPr>
                <w:rFonts w:cstheme="minorHAnsi"/>
                <w:color w:val="000000"/>
                <w:sz w:val="18"/>
                <w:szCs w:val="18"/>
              </w:rPr>
            </w:pPr>
            <w:r w:rsidRPr="00761055">
              <w:rPr>
                <w:rFonts w:cstheme="minorHAnsi"/>
                <w:color w:val="000000"/>
                <w:sz w:val="18"/>
                <w:szCs w:val="18"/>
              </w:rPr>
              <w:t>1,4%</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5" w14:textId="77777777" w:rsidR="00573680" w:rsidRPr="00761055" w:rsidRDefault="00573680">
            <w:pPr>
              <w:jc w:val="right"/>
              <w:rPr>
                <w:rFonts w:cstheme="minorHAnsi"/>
                <w:color w:val="000000"/>
                <w:sz w:val="18"/>
                <w:szCs w:val="18"/>
              </w:rPr>
            </w:pPr>
            <w:r w:rsidRPr="00761055">
              <w:rPr>
                <w:rFonts w:cstheme="minorHAnsi"/>
                <w:color w:val="000000"/>
                <w:sz w:val="18"/>
                <w:szCs w:val="18"/>
              </w:rPr>
              <w:t>2,7%</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E6" w14:textId="77777777" w:rsidR="00573680" w:rsidRPr="00761055" w:rsidRDefault="00573680">
            <w:pPr>
              <w:jc w:val="right"/>
              <w:rPr>
                <w:rFonts w:cstheme="minorHAnsi"/>
                <w:color w:val="000000"/>
                <w:sz w:val="18"/>
                <w:szCs w:val="18"/>
              </w:rPr>
            </w:pPr>
            <w:r w:rsidRPr="00761055">
              <w:rPr>
                <w:rFonts w:cstheme="minorHAnsi"/>
                <w:color w:val="000000"/>
                <w:sz w:val="18"/>
                <w:szCs w:val="18"/>
              </w:rPr>
              <w:t>95,7%</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E7" w14:textId="77777777" w:rsidR="00573680" w:rsidRPr="00761055" w:rsidRDefault="00573680">
            <w:pPr>
              <w:jc w:val="right"/>
              <w:rPr>
                <w:rFonts w:cstheme="minorHAnsi"/>
                <w:color w:val="000000"/>
                <w:sz w:val="18"/>
                <w:szCs w:val="18"/>
              </w:rPr>
            </w:pPr>
            <w:r w:rsidRPr="00761055">
              <w:rPr>
                <w:rFonts w:cstheme="minorHAnsi"/>
                <w:color w:val="000000"/>
                <w:sz w:val="18"/>
                <w:szCs w:val="18"/>
              </w:rPr>
              <w:t>96,3%</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E8" w14:textId="77777777" w:rsidR="00573680" w:rsidRPr="00761055" w:rsidRDefault="00573680">
            <w:pPr>
              <w:jc w:val="right"/>
              <w:rPr>
                <w:rFonts w:cstheme="minorHAnsi"/>
                <w:color w:val="000000"/>
                <w:sz w:val="18"/>
                <w:szCs w:val="18"/>
              </w:rPr>
            </w:pPr>
            <w:r w:rsidRPr="00761055">
              <w:rPr>
                <w:rFonts w:cstheme="minorHAnsi"/>
                <w:color w:val="000000"/>
                <w:sz w:val="18"/>
                <w:szCs w:val="18"/>
              </w:rPr>
              <w:t>95,9%</w:t>
            </w:r>
          </w:p>
        </w:tc>
      </w:tr>
      <w:tr w:rsidR="007A2E50" w:rsidRPr="00761055" w14:paraId="569F21FD" w14:textId="77777777" w:rsidTr="00450C86">
        <w:trPr>
          <w:trHeight w:val="300"/>
        </w:trPr>
        <w:tc>
          <w:tcPr>
            <w:tcW w:w="2024" w:type="dxa"/>
            <w:tcBorders>
              <w:top w:val="nil"/>
              <w:left w:val="nil"/>
              <w:bottom w:val="nil"/>
              <w:right w:val="nil"/>
            </w:tcBorders>
            <w:shd w:val="clear" w:color="auto" w:fill="auto"/>
            <w:noWrap/>
            <w:vAlign w:val="bottom"/>
            <w:hideMark/>
          </w:tcPr>
          <w:p w14:paraId="569F21EA"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Voorschoten</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B" w14:textId="77777777" w:rsidR="00573680" w:rsidRPr="00761055" w:rsidRDefault="00573680">
            <w:pPr>
              <w:jc w:val="right"/>
              <w:rPr>
                <w:rFonts w:cstheme="minorHAnsi"/>
                <w:color w:val="000000"/>
                <w:sz w:val="18"/>
                <w:szCs w:val="18"/>
              </w:rPr>
            </w:pPr>
            <w:r w:rsidRPr="00761055">
              <w:rPr>
                <w:rFonts w:cstheme="minorHAnsi"/>
                <w:color w:val="000000"/>
                <w:sz w:val="18"/>
                <w:szCs w:val="18"/>
              </w:rPr>
              <w:t>33,0%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C" w14:textId="77777777" w:rsidR="00573680" w:rsidRPr="00761055" w:rsidRDefault="00573680">
            <w:pPr>
              <w:jc w:val="right"/>
              <w:rPr>
                <w:rFonts w:cstheme="minorHAnsi"/>
                <w:color w:val="000000"/>
                <w:sz w:val="18"/>
                <w:szCs w:val="18"/>
              </w:rPr>
            </w:pPr>
            <w:r w:rsidRPr="00761055">
              <w:rPr>
                <w:rFonts w:cstheme="minorHAnsi"/>
                <w:color w:val="000000"/>
                <w:sz w:val="18"/>
                <w:szCs w:val="18"/>
              </w:rPr>
              <w:t>46,6%</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D" w14:textId="77777777" w:rsidR="00573680" w:rsidRPr="00761055" w:rsidRDefault="00573680">
            <w:pPr>
              <w:jc w:val="right"/>
              <w:rPr>
                <w:rFonts w:cstheme="minorHAnsi"/>
                <w:color w:val="000000"/>
                <w:sz w:val="18"/>
                <w:szCs w:val="18"/>
              </w:rPr>
            </w:pPr>
            <w:r w:rsidRPr="00761055">
              <w:rPr>
                <w:rFonts w:cstheme="minorHAnsi"/>
                <w:color w:val="000000"/>
                <w:sz w:val="18"/>
                <w:szCs w:val="18"/>
              </w:rPr>
              <w:t>79,5%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E" w14:textId="77777777" w:rsidR="00573680" w:rsidRPr="00761055" w:rsidRDefault="00573680">
            <w:pPr>
              <w:jc w:val="right"/>
              <w:rPr>
                <w:rFonts w:cstheme="minorHAnsi"/>
                <w:color w:val="000000"/>
                <w:sz w:val="18"/>
                <w:szCs w:val="18"/>
              </w:rPr>
            </w:pPr>
            <w:r w:rsidRPr="00761055">
              <w:rPr>
                <w:rFonts w:cstheme="minorHAnsi"/>
                <w:color w:val="000000"/>
                <w:sz w:val="18"/>
                <w:szCs w:val="18"/>
              </w:rPr>
              <w:t>54,2%</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EF" w14:textId="77777777" w:rsidR="00573680" w:rsidRPr="00761055" w:rsidRDefault="00573680">
            <w:pPr>
              <w:jc w:val="right"/>
              <w:rPr>
                <w:rFonts w:cstheme="minorHAnsi"/>
                <w:color w:val="000000"/>
                <w:sz w:val="18"/>
                <w:szCs w:val="18"/>
              </w:rPr>
            </w:pPr>
            <w:r w:rsidRPr="00761055">
              <w:rPr>
                <w:rFonts w:cstheme="minorHAnsi"/>
                <w:color w:val="000000"/>
                <w:sz w:val="18"/>
                <w:szCs w:val="18"/>
              </w:rPr>
              <w:t>49,7%</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F0" w14:textId="77777777" w:rsidR="00573680" w:rsidRPr="00761055" w:rsidRDefault="00573680">
            <w:pPr>
              <w:jc w:val="right"/>
              <w:rPr>
                <w:rFonts w:cstheme="minorHAnsi"/>
                <w:color w:val="000000"/>
                <w:sz w:val="18"/>
                <w:szCs w:val="18"/>
              </w:rPr>
            </w:pPr>
            <w:r w:rsidRPr="00761055">
              <w:rPr>
                <w:rFonts w:cstheme="minorHAnsi"/>
                <w:color w:val="000000"/>
                <w:sz w:val="18"/>
                <w:szCs w:val="18"/>
              </w:rPr>
              <w:t>82,0%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F1" w14:textId="77777777" w:rsidR="00573680" w:rsidRPr="00761055" w:rsidRDefault="00573680">
            <w:pPr>
              <w:jc w:val="right"/>
              <w:rPr>
                <w:rFonts w:cstheme="minorHAnsi"/>
                <w:color w:val="000000"/>
                <w:sz w:val="18"/>
                <w:szCs w:val="18"/>
              </w:rPr>
            </w:pPr>
            <w:r w:rsidRPr="00761055">
              <w:rPr>
                <w:rFonts w:cstheme="minorHAnsi"/>
                <w:color w:val="000000"/>
                <w:sz w:val="18"/>
                <w:szCs w:val="18"/>
              </w:rPr>
              <w:t>28,5%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F2" w14:textId="77777777" w:rsidR="00573680" w:rsidRPr="00761055" w:rsidRDefault="00573680">
            <w:pPr>
              <w:jc w:val="right"/>
              <w:rPr>
                <w:rFonts w:cstheme="minorHAnsi"/>
                <w:color w:val="000000"/>
                <w:sz w:val="18"/>
                <w:szCs w:val="18"/>
              </w:rPr>
            </w:pPr>
            <w:r w:rsidRPr="00761055">
              <w:rPr>
                <w:rFonts w:cstheme="minorHAnsi"/>
                <w:color w:val="000000"/>
                <w:sz w:val="18"/>
                <w:szCs w:val="18"/>
              </w:rPr>
              <w:t>37,8%</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1F3" w14:textId="77777777" w:rsidR="00573680" w:rsidRPr="00761055" w:rsidRDefault="00573680">
            <w:pPr>
              <w:jc w:val="right"/>
              <w:rPr>
                <w:rFonts w:cstheme="minorHAnsi"/>
                <w:color w:val="000000"/>
                <w:sz w:val="18"/>
                <w:szCs w:val="18"/>
              </w:rPr>
            </w:pPr>
            <w:r w:rsidRPr="00761055">
              <w:rPr>
                <w:rFonts w:cstheme="minorHAnsi"/>
                <w:color w:val="000000"/>
                <w:sz w:val="18"/>
                <w:szCs w:val="18"/>
              </w:rPr>
              <w:t>28,8%</w:t>
            </w:r>
          </w:p>
        </w:tc>
        <w:tc>
          <w:tcPr>
            <w:tcW w:w="68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69F21F4" w14:textId="4102C095" w:rsidR="00573680" w:rsidRPr="00761055" w:rsidRDefault="00450C86">
            <w:pPr>
              <w:jc w:val="right"/>
              <w:rPr>
                <w:rFonts w:cstheme="minorHAnsi"/>
                <w:color w:val="000000"/>
                <w:sz w:val="18"/>
                <w:szCs w:val="18"/>
              </w:rPr>
            </w:pPr>
            <w:r>
              <w:rPr>
                <w:rFonts w:cstheme="minorHAnsi"/>
                <w:color w:val="000000"/>
                <w:sz w:val="18"/>
                <w:szCs w:val="18"/>
              </w:rPr>
              <w:t>26,0</w:t>
            </w:r>
            <w:r w:rsidR="00573680" w:rsidRPr="00761055">
              <w:rPr>
                <w:rFonts w:cstheme="minorHAnsi"/>
                <w:color w:val="000000"/>
                <w:sz w:val="18"/>
                <w:szCs w:val="18"/>
              </w:rPr>
              <w:t>%</w:t>
            </w:r>
          </w:p>
        </w:tc>
        <w:tc>
          <w:tcPr>
            <w:tcW w:w="68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69F21F5" w14:textId="18F8FCD5" w:rsidR="00573680" w:rsidRPr="00761055" w:rsidRDefault="00450C86">
            <w:pPr>
              <w:jc w:val="right"/>
              <w:rPr>
                <w:rFonts w:cstheme="minorHAnsi"/>
                <w:color w:val="000000"/>
                <w:sz w:val="18"/>
                <w:szCs w:val="18"/>
              </w:rPr>
            </w:pPr>
            <w:r>
              <w:rPr>
                <w:rFonts w:cstheme="minorHAnsi"/>
                <w:color w:val="000000"/>
                <w:sz w:val="18"/>
                <w:szCs w:val="18"/>
              </w:rPr>
              <w:t>26,0</w:t>
            </w:r>
            <w:r w:rsidR="00573680" w:rsidRPr="00761055">
              <w:rPr>
                <w:rFonts w:cstheme="minorHAnsi"/>
                <w:color w:val="000000"/>
                <w:sz w:val="18"/>
                <w:szCs w:val="18"/>
              </w:rPr>
              <w:t>%</w:t>
            </w:r>
          </w:p>
        </w:tc>
        <w:tc>
          <w:tcPr>
            <w:tcW w:w="68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69F21F6" w14:textId="64841AAD" w:rsidR="00573680" w:rsidRPr="00761055" w:rsidRDefault="00450C86">
            <w:pPr>
              <w:jc w:val="right"/>
              <w:rPr>
                <w:rFonts w:cstheme="minorHAnsi"/>
                <w:color w:val="000000"/>
                <w:sz w:val="18"/>
                <w:szCs w:val="18"/>
              </w:rPr>
            </w:pPr>
            <w:r>
              <w:rPr>
                <w:rFonts w:cstheme="minorHAnsi"/>
                <w:color w:val="000000"/>
                <w:sz w:val="18"/>
                <w:szCs w:val="18"/>
              </w:rPr>
              <w:t>36,0</w:t>
            </w:r>
            <w:r w:rsidR="00573680" w:rsidRPr="00761055">
              <w:rPr>
                <w:rFonts w:cstheme="minorHAnsi"/>
                <w:color w:val="000000"/>
                <w:sz w:val="18"/>
                <w:szCs w:val="18"/>
              </w:rPr>
              <w:t>%</w:t>
            </w:r>
          </w:p>
        </w:tc>
        <w:tc>
          <w:tcPr>
            <w:tcW w:w="64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69F21F7" w14:textId="01C089B0" w:rsidR="00573680" w:rsidRPr="00761055" w:rsidRDefault="00450C86">
            <w:pPr>
              <w:jc w:val="right"/>
              <w:rPr>
                <w:rFonts w:cstheme="minorHAnsi"/>
                <w:color w:val="000000"/>
                <w:sz w:val="18"/>
                <w:szCs w:val="18"/>
              </w:rPr>
            </w:pPr>
            <w:r>
              <w:rPr>
                <w:rFonts w:cstheme="minorHAnsi"/>
                <w:color w:val="000000"/>
                <w:sz w:val="18"/>
                <w:szCs w:val="18"/>
              </w:rPr>
              <w:t>-</w:t>
            </w:r>
            <w:r w:rsidRPr="00450C86">
              <w:rPr>
                <w:rFonts w:cstheme="minorHAnsi"/>
                <w:color w:val="000000"/>
                <w:sz w:val="18"/>
                <w:szCs w:val="18"/>
                <w:shd w:val="clear" w:color="auto" w:fill="FFC000"/>
              </w:rPr>
              <w:t>29,5</w:t>
            </w:r>
            <w:r w:rsidR="00573680" w:rsidRPr="00450C86">
              <w:rPr>
                <w:rFonts w:cstheme="minorHAnsi"/>
                <w:color w:val="000000"/>
                <w:sz w:val="18"/>
                <w:szCs w:val="18"/>
                <w:shd w:val="clear" w:color="auto" w:fill="FFC000"/>
              </w:rPr>
              <w:t>%</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1F8" w14:textId="0FFEBD9A" w:rsidR="00573680" w:rsidRPr="00761055" w:rsidRDefault="00450C86">
            <w:pPr>
              <w:jc w:val="right"/>
              <w:rPr>
                <w:rFonts w:cstheme="minorHAnsi"/>
                <w:color w:val="000000"/>
                <w:sz w:val="18"/>
                <w:szCs w:val="18"/>
              </w:rPr>
            </w:pPr>
            <w:r>
              <w:rPr>
                <w:rFonts w:cstheme="minorHAnsi"/>
                <w:color w:val="000000"/>
                <w:sz w:val="18"/>
                <w:szCs w:val="18"/>
              </w:rPr>
              <w:t>10,4%</w:t>
            </w:r>
          </w:p>
        </w:tc>
        <w:tc>
          <w:tcPr>
            <w:tcW w:w="59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69F21F9" w14:textId="425D2428" w:rsidR="00573680" w:rsidRPr="00761055" w:rsidRDefault="00450C86">
            <w:pPr>
              <w:jc w:val="right"/>
              <w:rPr>
                <w:rFonts w:cstheme="minorHAnsi"/>
                <w:color w:val="000000"/>
                <w:sz w:val="18"/>
                <w:szCs w:val="18"/>
              </w:rPr>
            </w:pPr>
            <w:r>
              <w:rPr>
                <w:rFonts w:cstheme="minorHAnsi"/>
                <w:color w:val="000000"/>
                <w:sz w:val="18"/>
                <w:szCs w:val="18"/>
              </w:rPr>
              <w:t>-3,8</w:t>
            </w:r>
            <w:r w:rsidR="00573680" w:rsidRPr="00761055">
              <w:rPr>
                <w:rFonts w:cstheme="minorHAnsi"/>
                <w:color w:val="000000"/>
                <w:sz w:val="18"/>
                <w:szCs w:val="18"/>
              </w:rPr>
              <w:t>%</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FA" w14:textId="77777777" w:rsidR="00573680" w:rsidRPr="00761055" w:rsidRDefault="00573680">
            <w:pPr>
              <w:jc w:val="right"/>
              <w:rPr>
                <w:rFonts w:cstheme="minorHAnsi"/>
                <w:color w:val="000000"/>
                <w:sz w:val="18"/>
                <w:szCs w:val="18"/>
              </w:rPr>
            </w:pPr>
            <w:r w:rsidRPr="00761055">
              <w:rPr>
                <w:rFonts w:cstheme="minorHAnsi"/>
                <w:color w:val="000000"/>
                <w:sz w:val="18"/>
                <w:szCs w:val="18"/>
              </w:rPr>
              <w:t>124,1%</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FB" w14:textId="77777777" w:rsidR="00573680" w:rsidRPr="00761055" w:rsidRDefault="00573680">
            <w:pPr>
              <w:jc w:val="right"/>
              <w:rPr>
                <w:rFonts w:cstheme="minorHAnsi"/>
                <w:color w:val="000000"/>
                <w:sz w:val="18"/>
                <w:szCs w:val="18"/>
              </w:rPr>
            </w:pPr>
            <w:r w:rsidRPr="00761055">
              <w:rPr>
                <w:rFonts w:cstheme="minorHAnsi"/>
                <w:color w:val="000000"/>
                <w:sz w:val="18"/>
                <w:szCs w:val="18"/>
              </w:rPr>
              <w:t>129,2%</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1FC" w14:textId="77777777" w:rsidR="00573680" w:rsidRPr="00761055" w:rsidRDefault="00573680">
            <w:pPr>
              <w:jc w:val="right"/>
              <w:rPr>
                <w:rFonts w:cstheme="minorHAnsi"/>
                <w:color w:val="000000"/>
                <w:sz w:val="18"/>
                <w:szCs w:val="18"/>
              </w:rPr>
            </w:pPr>
            <w:r w:rsidRPr="00761055">
              <w:rPr>
                <w:rFonts w:cstheme="minorHAnsi"/>
                <w:color w:val="000000"/>
                <w:sz w:val="18"/>
                <w:szCs w:val="18"/>
              </w:rPr>
              <w:t>134,2%</w:t>
            </w:r>
          </w:p>
        </w:tc>
      </w:tr>
      <w:tr w:rsidR="007A2E50" w:rsidRPr="00761055" w14:paraId="569F2211" w14:textId="77777777" w:rsidTr="002F33BC">
        <w:trPr>
          <w:trHeight w:val="300"/>
        </w:trPr>
        <w:tc>
          <w:tcPr>
            <w:tcW w:w="2024" w:type="dxa"/>
            <w:tcBorders>
              <w:top w:val="nil"/>
              <w:left w:val="nil"/>
              <w:bottom w:val="nil"/>
              <w:right w:val="nil"/>
            </w:tcBorders>
            <w:shd w:val="clear" w:color="auto" w:fill="auto"/>
            <w:noWrap/>
            <w:vAlign w:val="bottom"/>
            <w:hideMark/>
          </w:tcPr>
          <w:p w14:paraId="569F21FE"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Waddinxveen</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1FF"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0"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01" w14:textId="77777777" w:rsidR="00573680" w:rsidRPr="00761055" w:rsidRDefault="00573680">
            <w:pPr>
              <w:jc w:val="right"/>
              <w:rPr>
                <w:rFonts w:cstheme="minorHAnsi"/>
                <w:color w:val="000000"/>
                <w:sz w:val="18"/>
                <w:szCs w:val="18"/>
              </w:rPr>
            </w:pPr>
            <w:r w:rsidRPr="00761055">
              <w:rPr>
                <w:rFonts w:cstheme="minorHAnsi"/>
                <w:color w:val="000000"/>
                <w:sz w:val="18"/>
                <w:szCs w:val="18"/>
              </w:rPr>
              <w:t>11,9%</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2"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3"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04" w14:textId="77777777" w:rsidR="00573680" w:rsidRPr="00761055" w:rsidRDefault="00573680">
            <w:pPr>
              <w:jc w:val="right"/>
              <w:rPr>
                <w:rFonts w:cstheme="minorHAnsi"/>
                <w:color w:val="000000"/>
                <w:sz w:val="18"/>
                <w:szCs w:val="18"/>
              </w:rPr>
            </w:pPr>
            <w:r w:rsidRPr="00761055">
              <w:rPr>
                <w:rFonts w:cstheme="minorHAnsi"/>
                <w:color w:val="000000"/>
                <w:sz w:val="18"/>
                <w:szCs w:val="18"/>
              </w:rPr>
              <w:t>11,9%</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5"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6"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07" w14:textId="77777777" w:rsidR="00573680" w:rsidRPr="00761055" w:rsidRDefault="00573680">
            <w:pPr>
              <w:jc w:val="right"/>
              <w:rPr>
                <w:rFonts w:cstheme="minorHAnsi"/>
                <w:color w:val="000000"/>
                <w:sz w:val="18"/>
                <w:szCs w:val="18"/>
              </w:rPr>
            </w:pPr>
            <w:r w:rsidRPr="00761055">
              <w:rPr>
                <w:rFonts w:cstheme="minorHAnsi"/>
                <w:color w:val="000000"/>
                <w:sz w:val="18"/>
                <w:szCs w:val="18"/>
              </w:rPr>
              <w:t>21,6%</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8"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9"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0A" w14:textId="77777777" w:rsidR="00573680" w:rsidRPr="00761055" w:rsidRDefault="00573680">
            <w:pPr>
              <w:jc w:val="right"/>
              <w:rPr>
                <w:rFonts w:cstheme="minorHAnsi"/>
                <w:color w:val="000000"/>
                <w:sz w:val="18"/>
                <w:szCs w:val="18"/>
              </w:rPr>
            </w:pPr>
            <w:r w:rsidRPr="00761055">
              <w:rPr>
                <w:rFonts w:cstheme="minorHAnsi"/>
                <w:color w:val="000000"/>
                <w:sz w:val="18"/>
                <w:szCs w:val="18"/>
              </w:rPr>
              <w:t>117,2%</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B"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C"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0D" w14:textId="77777777" w:rsidR="00573680" w:rsidRPr="00761055" w:rsidRDefault="00573680">
            <w:pPr>
              <w:jc w:val="right"/>
              <w:rPr>
                <w:rFonts w:cstheme="minorHAnsi"/>
                <w:color w:val="000000"/>
                <w:sz w:val="18"/>
                <w:szCs w:val="18"/>
              </w:rPr>
            </w:pPr>
            <w:r w:rsidRPr="00761055">
              <w:rPr>
                <w:rFonts w:cstheme="minorHAnsi"/>
                <w:color w:val="000000"/>
                <w:sz w:val="18"/>
                <w:szCs w:val="18"/>
              </w:rPr>
              <w:t>-3,7%</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E"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0F"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10" w14:textId="77777777" w:rsidR="00573680" w:rsidRPr="00761055" w:rsidRDefault="00573680">
            <w:pPr>
              <w:jc w:val="right"/>
              <w:rPr>
                <w:rFonts w:cstheme="minorHAnsi"/>
                <w:color w:val="000000"/>
                <w:sz w:val="18"/>
                <w:szCs w:val="18"/>
              </w:rPr>
            </w:pPr>
            <w:r w:rsidRPr="00761055">
              <w:rPr>
                <w:rFonts w:cstheme="minorHAnsi"/>
                <w:color w:val="000000"/>
                <w:sz w:val="18"/>
                <w:szCs w:val="18"/>
              </w:rPr>
              <w:t>92,6%</w:t>
            </w:r>
          </w:p>
        </w:tc>
      </w:tr>
      <w:tr w:rsidR="007A2E50" w:rsidRPr="00761055" w14:paraId="569F2225" w14:textId="77777777" w:rsidTr="00A34036">
        <w:trPr>
          <w:trHeight w:val="300"/>
        </w:trPr>
        <w:tc>
          <w:tcPr>
            <w:tcW w:w="2024" w:type="dxa"/>
            <w:tcBorders>
              <w:top w:val="nil"/>
              <w:left w:val="nil"/>
              <w:bottom w:val="nil"/>
              <w:right w:val="nil"/>
            </w:tcBorders>
            <w:shd w:val="clear" w:color="auto" w:fill="auto"/>
            <w:noWrap/>
            <w:vAlign w:val="bottom"/>
            <w:hideMark/>
          </w:tcPr>
          <w:p w14:paraId="569F2212"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Wassenaar</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13" w14:textId="77777777" w:rsidR="00573680" w:rsidRPr="00761055" w:rsidRDefault="00573680">
            <w:pPr>
              <w:jc w:val="right"/>
              <w:rPr>
                <w:rFonts w:cstheme="minorHAnsi"/>
                <w:color w:val="000000"/>
                <w:sz w:val="18"/>
                <w:szCs w:val="18"/>
              </w:rPr>
            </w:pPr>
            <w:r w:rsidRPr="00761055">
              <w:rPr>
                <w:rFonts w:cstheme="minorHAnsi"/>
                <w:color w:val="000000"/>
                <w:sz w:val="18"/>
                <w:szCs w:val="18"/>
              </w:rPr>
              <w:t>-72,6%</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14" w14:textId="77777777" w:rsidR="00573680" w:rsidRPr="00761055" w:rsidRDefault="00573680">
            <w:pPr>
              <w:jc w:val="right"/>
              <w:rPr>
                <w:rFonts w:cstheme="minorHAnsi"/>
                <w:color w:val="000000"/>
                <w:sz w:val="18"/>
                <w:szCs w:val="18"/>
              </w:rPr>
            </w:pPr>
            <w:r w:rsidRPr="00761055">
              <w:rPr>
                <w:rFonts w:cstheme="minorHAnsi"/>
                <w:color w:val="000000"/>
                <w:sz w:val="18"/>
                <w:szCs w:val="18"/>
              </w:rPr>
              <w:t>-53,6%</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15" w14:textId="77777777" w:rsidR="00573680" w:rsidRPr="00761055" w:rsidRDefault="00573680">
            <w:pPr>
              <w:jc w:val="right"/>
              <w:rPr>
                <w:rFonts w:cstheme="minorHAnsi"/>
                <w:color w:val="000000"/>
                <w:sz w:val="18"/>
                <w:szCs w:val="18"/>
              </w:rPr>
            </w:pPr>
            <w:r w:rsidRPr="00761055">
              <w:rPr>
                <w:rFonts w:cstheme="minorHAnsi"/>
                <w:color w:val="000000"/>
                <w:sz w:val="18"/>
                <w:szCs w:val="18"/>
              </w:rPr>
              <w:t>-54,1%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16" w14:textId="77777777" w:rsidR="00573680" w:rsidRPr="00761055" w:rsidRDefault="00573680">
            <w:pPr>
              <w:jc w:val="right"/>
              <w:rPr>
                <w:rFonts w:cstheme="minorHAnsi"/>
                <w:color w:val="000000"/>
                <w:sz w:val="18"/>
                <w:szCs w:val="18"/>
              </w:rPr>
            </w:pPr>
            <w:r w:rsidRPr="00761055">
              <w:rPr>
                <w:rFonts w:cstheme="minorHAnsi"/>
                <w:color w:val="000000"/>
                <w:sz w:val="18"/>
                <w:szCs w:val="18"/>
              </w:rPr>
              <w:t>-55,4%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17" w14:textId="77777777" w:rsidR="00573680" w:rsidRPr="00761055" w:rsidRDefault="00573680">
            <w:pPr>
              <w:jc w:val="right"/>
              <w:rPr>
                <w:rFonts w:cstheme="minorHAnsi"/>
                <w:color w:val="000000"/>
                <w:sz w:val="18"/>
                <w:szCs w:val="18"/>
              </w:rPr>
            </w:pPr>
            <w:r w:rsidRPr="00761055">
              <w:rPr>
                <w:rFonts w:cstheme="minorHAnsi"/>
                <w:color w:val="000000"/>
                <w:sz w:val="18"/>
                <w:szCs w:val="18"/>
              </w:rPr>
              <w:t>-53,6%</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18" w14:textId="77777777" w:rsidR="00573680" w:rsidRPr="00761055" w:rsidRDefault="00573680">
            <w:pPr>
              <w:jc w:val="right"/>
              <w:rPr>
                <w:rFonts w:cstheme="minorHAnsi"/>
                <w:color w:val="000000"/>
                <w:sz w:val="18"/>
                <w:szCs w:val="18"/>
              </w:rPr>
            </w:pPr>
            <w:r w:rsidRPr="00761055">
              <w:rPr>
                <w:rFonts w:cstheme="minorHAnsi"/>
                <w:color w:val="000000"/>
                <w:sz w:val="18"/>
                <w:szCs w:val="18"/>
              </w:rPr>
              <w:t>-54,1%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19" w14:textId="77777777" w:rsidR="00573680" w:rsidRPr="00761055" w:rsidRDefault="00573680">
            <w:pPr>
              <w:jc w:val="right"/>
              <w:rPr>
                <w:rFonts w:cstheme="minorHAnsi"/>
                <w:color w:val="000000"/>
                <w:sz w:val="18"/>
                <w:szCs w:val="18"/>
              </w:rPr>
            </w:pPr>
            <w:r w:rsidRPr="00761055">
              <w:rPr>
                <w:rFonts w:cstheme="minorHAnsi"/>
                <w:color w:val="000000"/>
                <w:sz w:val="18"/>
                <w:szCs w:val="18"/>
              </w:rPr>
              <w:t>77,4%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1A" w14:textId="77777777" w:rsidR="00573680" w:rsidRPr="00761055" w:rsidRDefault="00573680">
            <w:pPr>
              <w:jc w:val="right"/>
              <w:rPr>
                <w:rFonts w:cstheme="minorHAnsi"/>
                <w:color w:val="000000"/>
                <w:sz w:val="18"/>
                <w:szCs w:val="18"/>
              </w:rPr>
            </w:pPr>
            <w:r w:rsidRPr="00761055">
              <w:rPr>
                <w:rFonts w:cstheme="minorHAnsi"/>
                <w:color w:val="000000"/>
                <w:sz w:val="18"/>
                <w:szCs w:val="18"/>
              </w:rPr>
              <w:t>77,9%</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1B" w14:textId="77777777" w:rsidR="00573680" w:rsidRPr="00761055" w:rsidRDefault="00573680">
            <w:pPr>
              <w:jc w:val="right"/>
              <w:rPr>
                <w:rFonts w:cstheme="minorHAnsi"/>
                <w:color w:val="000000"/>
                <w:sz w:val="18"/>
                <w:szCs w:val="18"/>
              </w:rPr>
            </w:pPr>
            <w:r w:rsidRPr="00761055">
              <w:rPr>
                <w:rFonts w:cstheme="minorHAnsi"/>
                <w:color w:val="000000"/>
                <w:sz w:val="18"/>
                <w:szCs w:val="18"/>
              </w:rPr>
              <w:t>77,4%</w:t>
            </w:r>
          </w:p>
        </w:tc>
        <w:tc>
          <w:tcPr>
            <w:tcW w:w="682"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69F221C" w14:textId="0BF8F8C9" w:rsidR="00573680" w:rsidRPr="00761055" w:rsidRDefault="00A34036">
            <w:pPr>
              <w:jc w:val="right"/>
              <w:rPr>
                <w:rFonts w:cstheme="minorHAnsi"/>
                <w:color w:val="000000"/>
                <w:sz w:val="18"/>
                <w:szCs w:val="18"/>
              </w:rPr>
            </w:pPr>
            <w:r>
              <w:rPr>
                <w:rFonts w:cstheme="minorHAnsi"/>
                <w:color w:val="000000"/>
                <w:sz w:val="18"/>
                <w:szCs w:val="18"/>
              </w:rPr>
              <w:t>0,0%</w:t>
            </w:r>
            <w:r w:rsidR="00573680"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69F221D" w14:textId="1258BCB8" w:rsidR="00573680" w:rsidRPr="00761055" w:rsidRDefault="00A34036">
            <w:pPr>
              <w:jc w:val="right"/>
              <w:rPr>
                <w:rFonts w:cstheme="minorHAnsi"/>
                <w:color w:val="000000"/>
                <w:sz w:val="18"/>
                <w:szCs w:val="18"/>
              </w:rPr>
            </w:pPr>
            <w:r>
              <w:rPr>
                <w:rFonts w:cstheme="minorHAnsi"/>
                <w:color w:val="000000"/>
                <w:sz w:val="18"/>
                <w:szCs w:val="18"/>
              </w:rPr>
              <w:t>0,0%</w:t>
            </w:r>
            <w:r w:rsidR="00573680"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69F221E" w14:textId="714C885A" w:rsidR="00573680" w:rsidRPr="00761055" w:rsidRDefault="00573680">
            <w:pPr>
              <w:rPr>
                <w:rFonts w:cstheme="minorHAnsi"/>
                <w:color w:val="000000"/>
                <w:sz w:val="18"/>
                <w:szCs w:val="18"/>
              </w:rPr>
            </w:pPr>
            <w:r w:rsidRPr="00761055">
              <w:rPr>
                <w:rFonts w:cstheme="minorHAnsi"/>
                <w:color w:val="000000"/>
                <w:sz w:val="18"/>
                <w:szCs w:val="18"/>
              </w:rPr>
              <w:t> </w:t>
            </w:r>
            <w:r w:rsidR="00A34036">
              <w:rPr>
                <w:rFonts w:cstheme="minorHAnsi"/>
                <w:color w:val="000000"/>
                <w:sz w:val="18"/>
                <w:szCs w:val="18"/>
              </w:rPr>
              <w:t>0,0%</w:t>
            </w:r>
          </w:p>
        </w:tc>
        <w:tc>
          <w:tcPr>
            <w:tcW w:w="6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1F" w14:textId="77777777" w:rsidR="00573680" w:rsidRPr="00761055" w:rsidRDefault="00573680">
            <w:pPr>
              <w:jc w:val="right"/>
              <w:rPr>
                <w:rFonts w:cstheme="minorHAnsi"/>
                <w:color w:val="000000"/>
                <w:sz w:val="18"/>
                <w:szCs w:val="18"/>
              </w:rPr>
            </w:pPr>
            <w:r w:rsidRPr="00761055">
              <w:rPr>
                <w:rFonts w:cstheme="minorHAnsi"/>
                <w:color w:val="000000"/>
                <w:sz w:val="18"/>
                <w:szCs w:val="18"/>
              </w:rPr>
              <w:t>-38,7%</w:t>
            </w:r>
          </w:p>
        </w:tc>
        <w:tc>
          <w:tcPr>
            <w:tcW w:w="6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0" w14:textId="77777777" w:rsidR="00573680" w:rsidRPr="00761055" w:rsidRDefault="00573680">
            <w:pPr>
              <w:jc w:val="right"/>
              <w:rPr>
                <w:rFonts w:cstheme="minorHAnsi"/>
                <w:color w:val="000000"/>
                <w:sz w:val="18"/>
                <w:szCs w:val="18"/>
              </w:rPr>
            </w:pPr>
            <w:r w:rsidRPr="00761055">
              <w:rPr>
                <w:rFonts w:cstheme="minorHAnsi"/>
                <w:color w:val="000000"/>
                <w:sz w:val="18"/>
                <w:szCs w:val="18"/>
              </w:rPr>
              <w:t>-10,2%</w:t>
            </w:r>
          </w:p>
        </w:tc>
        <w:tc>
          <w:tcPr>
            <w:tcW w:w="5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1" w14:textId="77777777" w:rsidR="00573680" w:rsidRPr="00761055" w:rsidRDefault="00573680">
            <w:pPr>
              <w:jc w:val="right"/>
              <w:rPr>
                <w:rFonts w:cstheme="minorHAnsi"/>
                <w:color w:val="000000"/>
                <w:sz w:val="18"/>
                <w:szCs w:val="18"/>
              </w:rPr>
            </w:pPr>
            <w:r w:rsidRPr="00761055">
              <w:rPr>
                <w:rFonts w:cstheme="minorHAnsi"/>
                <w:color w:val="000000"/>
                <w:sz w:val="18"/>
                <w:szCs w:val="18"/>
              </w:rPr>
              <w:t>-2,4%</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2" w14:textId="77777777" w:rsidR="00573680" w:rsidRPr="00761055" w:rsidRDefault="00573680">
            <w:pPr>
              <w:jc w:val="right"/>
              <w:rPr>
                <w:rFonts w:cstheme="minorHAnsi"/>
                <w:color w:val="000000"/>
                <w:sz w:val="18"/>
                <w:szCs w:val="18"/>
              </w:rPr>
            </w:pPr>
            <w:r w:rsidRPr="00761055">
              <w:rPr>
                <w:rFonts w:cstheme="minorHAnsi"/>
                <w:color w:val="000000"/>
                <w:sz w:val="18"/>
                <w:szCs w:val="18"/>
              </w:rPr>
              <w:t>169,8%</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3" w14:textId="77777777" w:rsidR="00573680" w:rsidRPr="00761055" w:rsidRDefault="00573680">
            <w:pPr>
              <w:jc w:val="right"/>
              <w:rPr>
                <w:rFonts w:cstheme="minorHAnsi"/>
                <w:color w:val="000000"/>
                <w:sz w:val="18"/>
                <w:szCs w:val="18"/>
              </w:rPr>
            </w:pPr>
            <w:r w:rsidRPr="00761055">
              <w:rPr>
                <w:rFonts w:cstheme="minorHAnsi"/>
                <w:color w:val="000000"/>
                <w:sz w:val="18"/>
                <w:szCs w:val="18"/>
              </w:rPr>
              <w:t>167,1%</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4" w14:textId="77777777" w:rsidR="00573680" w:rsidRPr="00761055" w:rsidRDefault="00573680">
            <w:pPr>
              <w:jc w:val="right"/>
              <w:rPr>
                <w:rFonts w:cstheme="minorHAnsi"/>
                <w:color w:val="000000"/>
                <w:sz w:val="18"/>
                <w:szCs w:val="18"/>
              </w:rPr>
            </w:pPr>
            <w:r w:rsidRPr="00761055">
              <w:rPr>
                <w:rFonts w:cstheme="minorHAnsi"/>
                <w:color w:val="000000"/>
                <w:sz w:val="18"/>
                <w:szCs w:val="18"/>
              </w:rPr>
              <w:t>168,3%</w:t>
            </w:r>
          </w:p>
        </w:tc>
      </w:tr>
      <w:tr w:rsidR="007A2E50" w:rsidRPr="00761055" w14:paraId="569F2239" w14:textId="77777777" w:rsidTr="002F33BC">
        <w:trPr>
          <w:trHeight w:val="300"/>
        </w:trPr>
        <w:tc>
          <w:tcPr>
            <w:tcW w:w="2024" w:type="dxa"/>
            <w:tcBorders>
              <w:top w:val="nil"/>
              <w:left w:val="nil"/>
              <w:bottom w:val="nil"/>
              <w:right w:val="nil"/>
            </w:tcBorders>
            <w:shd w:val="clear" w:color="auto" w:fill="auto"/>
            <w:noWrap/>
            <w:vAlign w:val="bottom"/>
            <w:hideMark/>
          </w:tcPr>
          <w:p w14:paraId="569F2226"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Westland</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7" w14:textId="77777777" w:rsidR="00573680" w:rsidRPr="00761055" w:rsidRDefault="00573680">
            <w:pPr>
              <w:jc w:val="right"/>
              <w:rPr>
                <w:rFonts w:cstheme="minorHAnsi"/>
                <w:color w:val="000000"/>
                <w:sz w:val="18"/>
                <w:szCs w:val="18"/>
              </w:rPr>
            </w:pPr>
            <w:r w:rsidRPr="00761055">
              <w:rPr>
                <w:rFonts w:cstheme="minorHAnsi"/>
                <w:color w:val="000000"/>
                <w:sz w:val="18"/>
                <w:szCs w:val="18"/>
              </w:rPr>
              <w:t>176,0%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8" w14:textId="77777777" w:rsidR="00573680" w:rsidRPr="00761055" w:rsidRDefault="00573680">
            <w:pPr>
              <w:jc w:val="right"/>
              <w:rPr>
                <w:rFonts w:cstheme="minorHAnsi"/>
                <w:color w:val="000000"/>
                <w:sz w:val="18"/>
                <w:szCs w:val="18"/>
              </w:rPr>
            </w:pPr>
            <w:r w:rsidRPr="00761055">
              <w:rPr>
                <w:rFonts w:cstheme="minorHAnsi"/>
                <w:color w:val="000000"/>
                <w:sz w:val="18"/>
                <w:szCs w:val="18"/>
              </w:rPr>
              <w:t>175,2%</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9" w14:textId="77777777" w:rsidR="00573680" w:rsidRPr="00761055" w:rsidRDefault="00573680">
            <w:pPr>
              <w:jc w:val="right"/>
              <w:rPr>
                <w:rFonts w:cstheme="minorHAnsi"/>
                <w:color w:val="000000"/>
                <w:sz w:val="18"/>
                <w:szCs w:val="18"/>
              </w:rPr>
            </w:pPr>
            <w:r w:rsidRPr="00761055">
              <w:rPr>
                <w:rFonts w:cstheme="minorHAnsi"/>
                <w:color w:val="000000"/>
                <w:sz w:val="18"/>
                <w:szCs w:val="18"/>
              </w:rPr>
              <w:t>175,6%</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A" w14:textId="77777777" w:rsidR="00573680" w:rsidRPr="00761055" w:rsidRDefault="00573680">
            <w:pPr>
              <w:jc w:val="right"/>
              <w:rPr>
                <w:rFonts w:cstheme="minorHAnsi"/>
                <w:color w:val="000000"/>
                <w:sz w:val="18"/>
                <w:szCs w:val="18"/>
              </w:rPr>
            </w:pPr>
            <w:r w:rsidRPr="00761055">
              <w:rPr>
                <w:rFonts w:cstheme="minorHAnsi"/>
                <w:color w:val="000000"/>
                <w:sz w:val="18"/>
                <w:szCs w:val="18"/>
              </w:rPr>
              <w:t>159,3%</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B" w14:textId="77777777" w:rsidR="00573680" w:rsidRPr="00761055" w:rsidRDefault="00573680">
            <w:pPr>
              <w:jc w:val="right"/>
              <w:rPr>
                <w:rFonts w:cstheme="minorHAnsi"/>
                <w:color w:val="000000"/>
                <w:sz w:val="18"/>
                <w:szCs w:val="18"/>
              </w:rPr>
            </w:pPr>
            <w:r w:rsidRPr="00761055">
              <w:rPr>
                <w:rFonts w:cstheme="minorHAnsi"/>
                <w:color w:val="000000"/>
                <w:sz w:val="18"/>
                <w:szCs w:val="18"/>
              </w:rPr>
              <w:t>159,5%</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2C" w14:textId="77777777" w:rsidR="00573680" w:rsidRPr="00761055" w:rsidRDefault="00573680">
            <w:pPr>
              <w:jc w:val="right"/>
              <w:rPr>
                <w:rFonts w:cstheme="minorHAnsi"/>
                <w:color w:val="000000"/>
                <w:sz w:val="18"/>
                <w:szCs w:val="18"/>
              </w:rPr>
            </w:pPr>
            <w:r w:rsidRPr="00761055">
              <w:rPr>
                <w:rFonts w:cstheme="minorHAnsi"/>
                <w:color w:val="000000"/>
                <w:sz w:val="18"/>
                <w:szCs w:val="18"/>
              </w:rPr>
              <w:t>165,8%</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2D" w14:textId="77777777" w:rsidR="00573680" w:rsidRPr="00761055" w:rsidRDefault="00573680">
            <w:pPr>
              <w:jc w:val="right"/>
              <w:rPr>
                <w:rFonts w:cstheme="minorHAnsi"/>
                <w:color w:val="000000"/>
                <w:sz w:val="18"/>
                <w:szCs w:val="18"/>
              </w:rPr>
            </w:pPr>
            <w:r w:rsidRPr="00761055">
              <w:rPr>
                <w:rFonts w:cstheme="minorHAnsi"/>
                <w:color w:val="000000"/>
                <w:sz w:val="18"/>
                <w:szCs w:val="18"/>
              </w:rPr>
              <w:t>30,6%</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2E" w14:textId="77777777" w:rsidR="00573680" w:rsidRPr="00761055" w:rsidRDefault="00573680">
            <w:pPr>
              <w:jc w:val="right"/>
              <w:rPr>
                <w:rFonts w:cstheme="minorHAnsi"/>
                <w:color w:val="000000"/>
                <w:sz w:val="18"/>
                <w:szCs w:val="18"/>
              </w:rPr>
            </w:pPr>
            <w:r w:rsidRPr="00761055">
              <w:rPr>
                <w:rFonts w:cstheme="minorHAnsi"/>
                <w:color w:val="000000"/>
                <w:sz w:val="18"/>
                <w:szCs w:val="18"/>
              </w:rPr>
              <w:t>28,2%</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2F" w14:textId="77777777" w:rsidR="00573680" w:rsidRPr="00761055" w:rsidRDefault="00573680">
            <w:pPr>
              <w:jc w:val="right"/>
              <w:rPr>
                <w:rFonts w:cstheme="minorHAnsi"/>
                <w:color w:val="000000"/>
                <w:sz w:val="18"/>
                <w:szCs w:val="18"/>
              </w:rPr>
            </w:pPr>
            <w:r w:rsidRPr="00761055">
              <w:rPr>
                <w:rFonts w:cstheme="minorHAnsi"/>
                <w:color w:val="000000"/>
                <w:sz w:val="18"/>
                <w:szCs w:val="18"/>
              </w:rPr>
              <w:t>27,6%</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30" w14:textId="77777777" w:rsidR="00573680" w:rsidRPr="00761055" w:rsidRDefault="00573680">
            <w:pPr>
              <w:jc w:val="right"/>
              <w:rPr>
                <w:rFonts w:cstheme="minorHAnsi"/>
                <w:color w:val="000000"/>
                <w:sz w:val="18"/>
                <w:szCs w:val="18"/>
              </w:rPr>
            </w:pPr>
            <w:r w:rsidRPr="00761055">
              <w:rPr>
                <w:rFonts w:cstheme="minorHAnsi"/>
                <w:color w:val="000000"/>
                <w:sz w:val="18"/>
                <w:szCs w:val="18"/>
              </w:rPr>
              <w:t>112,8%</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31" w14:textId="77777777" w:rsidR="00573680" w:rsidRPr="00761055" w:rsidRDefault="00573680">
            <w:pPr>
              <w:jc w:val="right"/>
              <w:rPr>
                <w:rFonts w:cstheme="minorHAnsi"/>
                <w:color w:val="000000"/>
                <w:sz w:val="18"/>
                <w:szCs w:val="18"/>
              </w:rPr>
            </w:pPr>
            <w:r w:rsidRPr="00761055">
              <w:rPr>
                <w:rFonts w:cstheme="minorHAnsi"/>
                <w:color w:val="000000"/>
                <w:sz w:val="18"/>
                <w:szCs w:val="18"/>
              </w:rPr>
              <w:t>94,8%</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32" w14:textId="77777777" w:rsidR="00573680" w:rsidRPr="00761055" w:rsidRDefault="00573680">
            <w:pPr>
              <w:jc w:val="right"/>
              <w:rPr>
                <w:rFonts w:cstheme="minorHAnsi"/>
                <w:color w:val="000000"/>
                <w:sz w:val="18"/>
                <w:szCs w:val="18"/>
              </w:rPr>
            </w:pPr>
            <w:r w:rsidRPr="00761055">
              <w:rPr>
                <w:rFonts w:cstheme="minorHAnsi"/>
                <w:color w:val="000000"/>
                <w:sz w:val="18"/>
                <w:szCs w:val="18"/>
              </w:rPr>
              <w:t>96,4%</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33" w14:textId="77777777" w:rsidR="00573680" w:rsidRPr="00761055" w:rsidRDefault="00573680">
            <w:pPr>
              <w:jc w:val="right"/>
              <w:rPr>
                <w:rFonts w:cstheme="minorHAnsi"/>
                <w:color w:val="000000"/>
                <w:sz w:val="18"/>
                <w:szCs w:val="18"/>
              </w:rPr>
            </w:pPr>
            <w:r w:rsidRPr="00761055">
              <w:rPr>
                <w:rFonts w:cstheme="minorHAnsi"/>
                <w:color w:val="000000"/>
                <w:sz w:val="18"/>
                <w:szCs w:val="18"/>
              </w:rPr>
              <w:t>9,9%</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34" w14:textId="77777777" w:rsidR="00573680" w:rsidRPr="00761055" w:rsidRDefault="00573680">
            <w:pPr>
              <w:jc w:val="right"/>
              <w:rPr>
                <w:rFonts w:cstheme="minorHAnsi"/>
                <w:color w:val="000000"/>
                <w:sz w:val="18"/>
                <w:szCs w:val="18"/>
              </w:rPr>
            </w:pPr>
            <w:r w:rsidRPr="00761055">
              <w:rPr>
                <w:rFonts w:cstheme="minorHAnsi"/>
                <w:color w:val="000000"/>
                <w:sz w:val="18"/>
                <w:szCs w:val="18"/>
              </w:rPr>
              <w:t>0,6%</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35" w14:textId="77777777" w:rsidR="00573680" w:rsidRPr="00761055" w:rsidRDefault="00573680">
            <w:pPr>
              <w:jc w:val="right"/>
              <w:rPr>
                <w:rFonts w:cstheme="minorHAnsi"/>
                <w:color w:val="000000"/>
                <w:sz w:val="18"/>
                <w:szCs w:val="18"/>
              </w:rPr>
            </w:pPr>
            <w:r w:rsidRPr="00761055">
              <w:rPr>
                <w:rFonts w:cstheme="minorHAnsi"/>
                <w:color w:val="000000"/>
                <w:sz w:val="18"/>
                <w:szCs w:val="18"/>
              </w:rPr>
              <w:t>0,8%</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36" w14:textId="77777777" w:rsidR="00573680" w:rsidRPr="00761055" w:rsidRDefault="00573680">
            <w:pPr>
              <w:jc w:val="right"/>
              <w:rPr>
                <w:rFonts w:cstheme="minorHAnsi"/>
                <w:color w:val="000000"/>
                <w:sz w:val="18"/>
                <w:szCs w:val="18"/>
              </w:rPr>
            </w:pPr>
            <w:r w:rsidRPr="00761055">
              <w:rPr>
                <w:rFonts w:cstheme="minorHAnsi"/>
                <w:color w:val="000000"/>
                <w:sz w:val="18"/>
                <w:szCs w:val="18"/>
              </w:rPr>
              <w:t>105,5%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37" w14:textId="77777777" w:rsidR="00573680" w:rsidRPr="00761055" w:rsidRDefault="00573680">
            <w:pPr>
              <w:jc w:val="right"/>
              <w:rPr>
                <w:rFonts w:cstheme="minorHAnsi"/>
                <w:color w:val="000000"/>
                <w:sz w:val="18"/>
                <w:szCs w:val="18"/>
              </w:rPr>
            </w:pPr>
            <w:r w:rsidRPr="00761055">
              <w:rPr>
                <w:rFonts w:cstheme="minorHAnsi"/>
                <w:color w:val="000000"/>
                <w:sz w:val="18"/>
                <w:szCs w:val="18"/>
              </w:rPr>
              <w:t>104,4%</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38" w14:textId="77777777" w:rsidR="00573680" w:rsidRPr="00761055" w:rsidRDefault="00573680">
            <w:pPr>
              <w:jc w:val="right"/>
              <w:rPr>
                <w:rFonts w:cstheme="minorHAnsi"/>
                <w:color w:val="000000"/>
                <w:sz w:val="18"/>
                <w:szCs w:val="18"/>
              </w:rPr>
            </w:pPr>
            <w:r w:rsidRPr="00761055">
              <w:rPr>
                <w:rFonts w:cstheme="minorHAnsi"/>
                <w:color w:val="000000"/>
                <w:sz w:val="18"/>
                <w:szCs w:val="18"/>
              </w:rPr>
              <w:t>103,9%</w:t>
            </w:r>
          </w:p>
        </w:tc>
      </w:tr>
      <w:tr w:rsidR="007A2E50" w:rsidRPr="00761055" w14:paraId="569F224D" w14:textId="77777777" w:rsidTr="002F33BC">
        <w:trPr>
          <w:trHeight w:val="300"/>
        </w:trPr>
        <w:tc>
          <w:tcPr>
            <w:tcW w:w="2024" w:type="dxa"/>
            <w:tcBorders>
              <w:top w:val="nil"/>
              <w:left w:val="nil"/>
              <w:bottom w:val="nil"/>
              <w:right w:val="nil"/>
            </w:tcBorders>
            <w:shd w:val="clear" w:color="auto" w:fill="auto"/>
            <w:noWrap/>
            <w:vAlign w:val="bottom"/>
            <w:hideMark/>
          </w:tcPr>
          <w:p w14:paraId="569F223A"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Westvoorne</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3B" w14:textId="77777777" w:rsidR="00573680" w:rsidRPr="00761055" w:rsidRDefault="00573680">
            <w:pPr>
              <w:jc w:val="right"/>
              <w:rPr>
                <w:rFonts w:cstheme="minorHAnsi"/>
                <w:color w:val="000000"/>
                <w:sz w:val="18"/>
                <w:szCs w:val="18"/>
              </w:rPr>
            </w:pPr>
            <w:r w:rsidRPr="00761055">
              <w:rPr>
                <w:rFonts w:cstheme="minorHAnsi"/>
                <w:color w:val="000000"/>
                <w:sz w:val="18"/>
                <w:szCs w:val="18"/>
              </w:rPr>
              <w:t>109,9%</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3C" w14:textId="77777777" w:rsidR="00573680" w:rsidRPr="00761055" w:rsidRDefault="00573680">
            <w:pPr>
              <w:jc w:val="right"/>
              <w:rPr>
                <w:rFonts w:cstheme="minorHAnsi"/>
                <w:color w:val="000000"/>
                <w:sz w:val="18"/>
                <w:szCs w:val="18"/>
              </w:rPr>
            </w:pPr>
            <w:r w:rsidRPr="00761055">
              <w:rPr>
                <w:rFonts w:cstheme="minorHAnsi"/>
                <w:color w:val="000000"/>
                <w:sz w:val="18"/>
                <w:szCs w:val="18"/>
              </w:rPr>
              <w:t>162,3%</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3D" w14:textId="77777777" w:rsidR="00573680" w:rsidRPr="00761055" w:rsidRDefault="00573680">
            <w:pPr>
              <w:jc w:val="right"/>
              <w:rPr>
                <w:rFonts w:cstheme="minorHAnsi"/>
                <w:color w:val="000000"/>
                <w:sz w:val="18"/>
                <w:szCs w:val="18"/>
              </w:rPr>
            </w:pPr>
            <w:r w:rsidRPr="00761055">
              <w:rPr>
                <w:rFonts w:cstheme="minorHAnsi"/>
                <w:color w:val="000000"/>
                <w:sz w:val="18"/>
                <w:szCs w:val="18"/>
              </w:rPr>
              <w:t>151,5%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3E" w14:textId="77777777" w:rsidR="00573680" w:rsidRPr="00761055" w:rsidRDefault="00573680">
            <w:pPr>
              <w:jc w:val="right"/>
              <w:rPr>
                <w:rFonts w:cstheme="minorHAnsi"/>
                <w:color w:val="000000"/>
                <w:sz w:val="18"/>
                <w:szCs w:val="18"/>
              </w:rPr>
            </w:pPr>
            <w:r w:rsidRPr="00761055">
              <w:rPr>
                <w:rFonts w:cstheme="minorHAnsi"/>
                <w:color w:val="000000"/>
                <w:sz w:val="18"/>
                <w:szCs w:val="18"/>
              </w:rPr>
              <w:t>102,3%</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3F" w14:textId="77777777" w:rsidR="00573680" w:rsidRPr="00761055" w:rsidRDefault="00573680">
            <w:pPr>
              <w:jc w:val="right"/>
              <w:rPr>
                <w:rFonts w:cstheme="minorHAnsi"/>
                <w:color w:val="000000"/>
                <w:sz w:val="18"/>
                <w:szCs w:val="18"/>
              </w:rPr>
            </w:pPr>
            <w:r w:rsidRPr="00761055">
              <w:rPr>
                <w:rFonts w:cstheme="minorHAnsi"/>
                <w:color w:val="000000"/>
                <w:sz w:val="18"/>
                <w:szCs w:val="18"/>
              </w:rPr>
              <w:t>152,4%</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40" w14:textId="77777777" w:rsidR="00573680" w:rsidRPr="00761055" w:rsidRDefault="00573680">
            <w:pPr>
              <w:jc w:val="right"/>
              <w:rPr>
                <w:rFonts w:cstheme="minorHAnsi"/>
                <w:color w:val="000000"/>
                <w:sz w:val="18"/>
                <w:szCs w:val="18"/>
              </w:rPr>
            </w:pPr>
            <w:r w:rsidRPr="00761055">
              <w:rPr>
                <w:rFonts w:cstheme="minorHAnsi"/>
                <w:color w:val="000000"/>
                <w:sz w:val="18"/>
                <w:szCs w:val="18"/>
              </w:rPr>
              <w:t>142,8%</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41" w14:textId="77777777" w:rsidR="00573680" w:rsidRPr="00761055" w:rsidRDefault="00573680">
            <w:pPr>
              <w:jc w:val="right"/>
              <w:rPr>
                <w:rFonts w:cstheme="minorHAnsi"/>
                <w:color w:val="000000"/>
                <w:sz w:val="18"/>
                <w:szCs w:val="18"/>
              </w:rPr>
            </w:pPr>
            <w:r w:rsidRPr="00761055">
              <w:rPr>
                <w:rFonts w:cstheme="minorHAnsi"/>
                <w:color w:val="000000"/>
                <w:sz w:val="18"/>
                <w:szCs w:val="18"/>
              </w:rPr>
              <w:t>31,7%</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42" w14:textId="77777777" w:rsidR="00573680" w:rsidRPr="00761055" w:rsidRDefault="00573680">
            <w:pPr>
              <w:jc w:val="right"/>
              <w:rPr>
                <w:rFonts w:cstheme="minorHAnsi"/>
                <w:color w:val="000000"/>
                <w:sz w:val="18"/>
                <w:szCs w:val="18"/>
              </w:rPr>
            </w:pPr>
            <w:r w:rsidRPr="00761055">
              <w:rPr>
                <w:rFonts w:cstheme="minorHAnsi"/>
                <w:color w:val="000000"/>
                <w:sz w:val="18"/>
                <w:szCs w:val="18"/>
              </w:rPr>
              <w:t>29,7%</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43" w14:textId="77777777" w:rsidR="00573680" w:rsidRPr="00761055" w:rsidRDefault="00573680">
            <w:pPr>
              <w:jc w:val="right"/>
              <w:rPr>
                <w:rFonts w:cstheme="minorHAnsi"/>
                <w:color w:val="000000"/>
                <w:sz w:val="18"/>
                <w:szCs w:val="18"/>
              </w:rPr>
            </w:pPr>
            <w:r w:rsidRPr="00761055">
              <w:rPr>
                <w:rFonts w:cstheme="minorHAnsi"/>
                <w:color w:val="000000"/>
                <w:sz w:val="18"/>
                <w:szCs w:val="18"/>
              </w:rPr>
              <w:t>31,1%</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44" w14:textId="77777777" w:rsidR="00573680" w:rsidRPr="00761055" w:rsidRDefault="00573680">
            <w:pPr>
              <w:jc w:val="right"/>
              <w:rPr>
                <w:rFonts w:cstheme="minorHAnsi"/>
                <w:color w:val="000000"/>
                <w:sz w:val="18"/>
                <w:szCs w:val="18"/>
              </w:rPr>
            </w:pPr>
            <w:r w:rsidRPr="00761055">
              <w:rPr>
                <w:rFonts w:cstheme="minorHAnsi"/>
                <w:color w:val="000000"/>
                <w:sz w:val="18"/>
                <w:szCs w:val="18"/>
              </w:rPr>
              <w:t>21,9%</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45" w14:textId="77777777" w:rsidR="00573680" w:rsidRPr="00761055" w:rsidRDefault="00573680">
            <w:pPr>
              <w:jc w:val="right"/>
              <w:rPr>
                <w:rFonts w:cstheme="minorHAnsi"/>
                <w:color w:val="000000"/>
                <w:sz w:val="18"/>
                <w:szCs w:val="18"/>
              </w:rPr>
            </w:pPr>
            <w:r w:rsidRPr="00761055">
              <w:rPr>
                <w:rFonts w:cstheme="minorHAnsi"/>
                <w:color w:val="000000"/>
                <w:sz w:val="18"/>
                <w:szCs w:val="18"/>
              </w:rPr>
              <w:t>54,8%</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46" w14:textId="77777777" w:rsidR="00573680" w:rsidRPr="00761055" w:rsidRDefault="00573680">
            <w:pPr>
              <w:jc w:val="right"/>
              <w:rPr>
                <w:rFonts w:cstheme="minorHAnsi"/>
                <w:color w:val="000000"/>
                <w:sz w:val="18"/>
                <w:szCs w:val="18"/>
              </w:rPr>
            </w:pPr>
            <w:r w:rsidRPr="00761055">
              <w:rPr>
                <w:rFonts w:cstheme="minorHAnsi"/>
                <w:color w:val="000000"/>
                <w:sz w:val="18"/>
                <w:szCs w:val="18"/>
              </w:rPr>
              <w:t>51,0%</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47" w14:textId="77777777" w:rsidR="00573680" w:rsidRPr="00761055" w:rsidRDefault="00573680">
            <w:pPr>
              <w:jc w:val="right"/>
              <w:rPr>
                <w:rFonts w:cstheme="minorHAnsi"/>
                <w:color w:val="000000"/>
                <w:sz w:val="18"/>
                <w:szCs w:val="18"/>
              </w:rPr>
            </w:pPr>
            <w:r w:rsidRPr="00761055">
              <w:rPr>
                <w:rFonts w:cstheme="minorHAnsi"/>
                <w:color w:val="000000"/>
                <w:sz w:val="18"/>
                <w:szCs w:val="18"/>
              </w:rPr>
              <w:t>17,7%</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48" w14:textId="77777777" w:rsidR="00573680" w:rsidRPr="00761055" w:rsidRDefault="00573680">
            <w:pPr>
              <w:jc w:val="right"/>
              <w:rPr>
                <w:rFonts w:cstheme="minorHAnsi"/>
                <w:color w:val="000000"/>
                <w:sz w:val="18"/>
                <w:szCs w:val="18"/>
              </w:rPr>
            </w:pPr>
            <w:r w:rsidRPr="00761055">
              <w:rPr>
                <w:rFonts w:cstheme="minorHAnsi"/>
                <w:color w:val="000000"/>
                <w:sz w:val="18"/>
                <w:szCs w:val="18"/>
              </w:rPr>
              <w:t>0,1%</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49"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4A" w14:textId="77777777" w:rsidR="00573680" w:rsidRPr="00761055" w:rsidRDefault="00573680">
            <w:pPr>
              <w:jc w:val="right"/>
              <w:rPr>
                <w:rFonts w:cstheme="minorHAnsi"/>
                <w:color w:val="000000"/>
                <w:sz w:val="18"/>
                <w:szCs w:val="18"/>
              </w:rPr>
            </w:pPr>
            <w:r w:rsidRPr="00761055">
              <w:rPr>
                <w:rFonts w:cstheme="minorHAnsi"/>
                <w:color w:val="000000"/>
                <w:sz w:val="18"/>
                <w:szCs w:val="18"/>
              </w:rPr>
              <w:t>124,3%</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4B" w14:textId="77777777" w:rsidR="00573680" w:rsidRPr="00761055" w:rsidRDefault="00573680">
            <w:pPr>
              <w:jc w:val="right"/>
              <w:rPr>
                <w:rFonts w:cstheme="minorHAnsi"/>
                <w:color w:val="000000"/>
                <w:sz w:val="18"/>
                <w:szCs w:val="18"/>
              </w:rPr>
            </w:pPr>
            <w:r w:rsidRPr="00761055">
              <w:rPr>
                <w:rFonts w:cstheme="minorHAnsi"/>
                <w:color w:val="000000"/>
                <w:sz w:val="18"/>
                <w:szCs w:val="18"/>
              </w:rPr>
              <w:t>122,2%</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4C" w14:textId="77777777" w:rsidR="00573680" w:rsidRPr="00761055" w:rsidRDefault="00573680">
            <w:pPr>
              <w:jc w:val="right"/>
              <w:rPr>
                <w:rFonts w:cstheme="minorHAnsi"/>
                <w:color w:val="000000"/>
                <w:sz w:val="18"/>
                <w:szCs w:val="18"/>
              </w:rPr>
            </w:pPr>
            <w:r w:rsidRPr="00761055">
              <w:rPr>
                <w:rFonts w:cstheme="minorHAnsi"/>
                <w:color w:val="000000"/>
                <w:sz w:val="18"/>
                <w:szCs w:val="18"/>
              </w:rPr>
              <w:t>123,4%</w:t>
            </w:r>
          </w:p>
        </w:tc>
      </w:tr>
      <w:tr w:rsidR="007A2E50" w:rsidRPr="00761055" w14:paraId="569F2261" w14:textId="77777777" w:rsidTr="002F33BC">
        <w:trPr>
          <w:trHeight w:val="300"/>
        </w:trPr>
        <w:tc>
          <w:tcPr>
            <w:tcW w:w="2024" w:type="dxa"/>
            <w:tcBorders>
              <w:top w:val="nil"/>
              <w:left w:val="nil"/>
              <w:bottom w:val="nil"/>
              <w:right w:val="nil"/>
            </w:tcBorders>
            <w:shd w:val="clear" w:color="auto" w:fill="auto"/>
            <w:noWrap/>
            <w:vAlign w:val="bottom"/>
            <w:hideMark/>
          </w:tcPr>
          <w:p w14:paraId="569F224E"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Zederik</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4F" w14:textId="77777777" w:rsidR="00573680" w:rsidRPr="00761055" w:rsidRDefault="00573680">
            <w:pPr>
              <w:jc w:val="right"/>
              <w:rPr>
                <w:rFonts w:cstheme="minorHAnsi"/>
                <w:color w:val="000000"/>
                <w:sz w:val="18"/>
                <w:szCs w:val="18"/>
              </w:rPr>
            </w:pPr>
            <w:r w:rsidRPr="00761055">
              <w:rPr>
                <w:rFonts w:cstheme="minorHAnsi"/>
                <w:color w:val="000000"/>
                <w:sz w:val="18"/>
                <w:szCs w:val="18"/>
              </w:rPr>
              <w:t>70,0%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50" w14:textId="77777777" w:rsidR="00573680" w:rsidRPr="00761055" w:rsidRDefault="00573680">
            <w:pPr>
              <w:jc w:val="right"/>
              <w:rPr>
                <w:rFonts w:cstheme="minorHAnsi"/>
                <w:color w:val="000000"/>
                <w:sz w:val="18"/>
                <w:szCs w:val="18"/>
              </w:rPr>
            </w:pPr>
            <w:r w:rsidRPr="00761055">
              <w:rPr>
                <w:rFonts w:cstheme="minorHAnsi"/>
                <w:color w:val="000000"/>
                <w:sz w:val="18"/>
                <w:szCs w:val="18"/>
              </w:rPr>
              <w:t>69,0%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51" w14:textId="77777777" w:rsidR="00573680" w:rsidRPr="00761055" w:rsidRDefault="00573680">
            <w:pPr>
              <w:jc w:val="right"/>
              <w:rPr>
                <w:rFonts w:cstheme="minorHAnsi"/>
                <w:color w:val="000000"/>
                <w:sz w:val="18"/>
                <w:szCs w:val="18"/>
              </w:rPr>
            </w:pPr>
            <w:r w:rsidRPr="00761055">
              <w:rPr>
                <w:rFonts w:cstheme="minorHAnsi"/>
                <w:color w:val="000000"/>
                <w:sz w:val="18"/>
                <w:szCs w:val="18"/>
              </w:rPr>
              <w:t>55,0%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52" w14:textId="77777777" w:rsidR="00573680" w:rsidRPr="00761055" w:rsidRDefault="00573680">
            <w:pPr>
              <w:jc w:val="right"/>
              <w:rPr>
                <w:rFonts w:cstheme="minorHAnsi"/>
                <w:color w:val="000000"/>
                <w:sz w:val="18"/>
                <w:szCs w:val="18"/>
              </w:rPr>
            </w:pPr>
            <w:r w:rsidRPr="00761055">
              <w:rPr>
                <w:rFonts w:cstheme="minorHAnsi"/>
                <w:color w:val="000000"/>
                <w:sz w:val="18"/>
                <w:szCs w:val="18"/>
              </w:rPr>
              <w:t>74,0%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53" w14:textId="77777777" w:rsidR="00573680" w:rsidRPr="00761055" w:rsidRDefault="00573680">
            <w:pPr>
              <w:jc w:val="right"/>
              <w:rPr>
                <w:rFonts w:cstheme="minorHAnsi"/>
                <w:color w:val="000000"/>
                <w:sz w:val="18"/>
                <w:szCs w:val="18"/>
              </w:rPr>
            </w:pPr>
            <w:r w:rsidRPr="00761055">
              <w:rPr>
                <w:rFonts w:cstheme="minorHAnsi"/>
                <w:color w:val="000000"/>
                <w:sz w:val="18"/>
                <w:szCs w:val="18"/>
              </w:rPr>
              <w:t>72,0%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54" w14:textId="77777777" w:rsidR="00573680" w:rsidRPr="00761055" w:rsidRDefault="00573680">
            <w:pPr>
              <w:jc w:val="right"/>
              <w:rPr>
                <w:rFonts w:cstheme="minorHAnsi"/>
                <w:color w:val="000000"/>
                <w:sz w:val="18"/>
                <w:szCs w:val="18"/>
              </w:rPr>
            </w:pPr>
            <w:r w:rsidRPr="00761055">
              <w:rPr>
                <w:rFonts w:cstheme="minorHAnsi"/>
                <w:color w:val="000000"/>
                <w:sz w:val="18"/>
                <w:szCs w:val="18"/>
              </w:rPr>
              <w:t>59,0%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55" w14:textId="77777777" w:rsidR="00573680" w:rsidRPr="00761055" w:rsidRDefault="00573680">
            <w:pPr>
              <w:jc w:val="right"/>
              <w:rPr>
                <w:rFonts w:cstheme="minorHAnsi"/>
                <w:color w:val="000000"/>
                <w:sz w:val="18"/>
                <w:szCs w:val="18"/>
              </w:rPr>
            </w:pPr>
            <w:r w:rsidRPr="00761055">
              <w:rPr>
                <w:rFonts w:cstheme="minorHAnsi"/>
                <w:color w:val="000000"/>
                <w:sz w:val="18"/>
                <w:szCs w:val="18"/>
              </w:rPr>
              <w:t>29,0%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56" w14:textId="77777777" w:rsidR="00573680" w:rsidRPr="00761055" w:rsidRDefault="00573680">
            <w:pPr>
              <w:jc w:val="right"/>
              <w:rPr>
                <w:rFonts w:cstheme="minorHAnsi"/>
                <w:color w:val="000000"/>
                <w:sz w:val="18"/>
                <w:szCs w:val="18"/>
              </w:rPr>
            </w:pPr>
            <w:r w:rsidRPr="00761055">
              <w:rPr>
                <w:rFonts w:cstheme="minorHAnsi"/>
                <w:color w:val="000000"/>
                <w:sz w:val="18"/>
                <w:szCs w:val="18"/>
              </w:rPr>
              <w:t>24,0%</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57" w14:textId="77777777" w:rsidR="00573680" w:rsidRPr="00761055" w:rsidRDefault="00573680">
            <w:pPr>
              <w:jc w:val="right"/>
              <w:rPr>
                <w:rFonts w:cstheme="minorHAnsi"/>
                <w:color w:val="000000"/>
                <w:sz w:val="18"/>
                <w:szCs w:val="18"/>
              </w:rPr>
            </w:pPr>
            <w:r w:rsidRPr="00761055">
              <w:rPr>
                <w:rFonts w:cstheme="minorHAnsi"/>
                <w:color w:val="000000"/>
                <w:sz w:val="18"/>
                <w:szCs w:val="18"/>
              </w:rPr>
              <w:t>28,0%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58" w14:textId="77777777" w:rsidR="00573680" w:rsidRPr="00761055" w:rsidRDefault="00573680">
            <w:pPr>
              <w:jc w:val="right"/>
              <w:rPr>
                <w:rFonts w:cstheme="minorHAnsi"/>
                <w:color w:val="000000"/>
                <w:sz w:val="18"/>
                <w:szCs w:val="18"/>
              </w:rPr>
            </w:pPr>
            <w:r w:rsidRPr="00761055">
              <w:rPr>
                <w:rFonts w:cstheme="minorHAnsi"/>
                <w:color w:val="000000"/>
                <w:sz w:val="18"/>
                <w:szCs w:val="18"/>
              </w:rPr>
              <w:t>21,0%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59" w14:textId="77777777" w:rsidR="00573680" w:rsidRPr="00761055" w:rsidRDefault="00573680">
            <w:pPr>
              <w:jc w:val="right"/>
              <w:rPr>
                <w:rFonts w:cstheme="minorHAnsi"/>
                <w:color w:val="000000"/>
                <w:sz w:val="18"/>
                <w:szCs w:val="18"/>
              </w:rPr>
            </w:pPr>
            <w:r w:rsidRPr="00761055">
              <w:rPr>
                <w:rFonts w:cstheme="minorHAnsi"/>
                <w:color w:val="000000"/>
                <w:sz w:val="18"/>
                <w:szCs w:val="18"/>
              </w:rPr>
              <w:t>20,0%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5A" w14:textId="77777777" w:rsidR="00573680" w:rsidRPr="00761055" w:rsidRDefault="00573680">
            <w:pPr>
              <w:jc w:val="right"/>
              <w:rPr>
                <w:rFonts w:cstheme="minorHAnsi"/>
                <w:color w:val="000000"/>
                <w:sz w:val="18"/>
                <w:szCs w:val="18"/>
              </w:rPr>
            </w:pPr>
            <w:r w:rsidRPr="00761055">
              <w:rPr>
                <w:rFonts w:cstheme="minorHAnsi"/>
                <w:color w:val="000000"/>
                <w:sz w:val="18"/>
                <w:szCs w:val="18"/>
              </w:rPr>
              <w:t>15,0%</w:t>
            </w:r>
          </w:p>
        </w:tc>
        <w:tc>
          <w:tcPr>
            <w:tcW w:w="6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5B" w14:textId="77777777" w:rsidR="00573680" w:rsidRPr="00761055" w:rsidRDefault="00573680">
            <w:pPr>
              <w:jc w:val="right"/>
              <w:rPr>
                <w:rFonts w:cstheme="minorHAnsi"/>
                <w:color w:val="000000"/>
                <w:sz w:val="18"/>
                <w:szCs w:val="18"/>
              </w:rPr>
            </w:pPr>
            <w:r w:rsidRPr="00761055">
              <w:rPr>
                <w:rFonts w:cstheme="minorHAnsi"/>
                <w:color w:val="000000"/>
                <w:sz w:val="18"/>
                <w:szCs w:val="18"/>
              </w:rPr>
              <w:t>-1,0%</w:t>
            </w:r>
          </w:p>
        </w:tc>
        <w:tc>
          <w:tcPr>
            <w:tcW w:w="6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5C" w14:textId="77777777" w:rsidR="00573680" w:rsidRPr="00761055" w:rsidRDefault="00573680">
            <w:pPr>
              <w:jc w:val="right"/>
              <w:rPr>
                <w:rFonts w:cstheme="minorHAnsi"/>
                <w:color w:val="000000"/>
                <w:sz w:val="18"/>
                <w:szCs w:val="18"/>
              </w:rPr>
            </w:pPr>
            <w:r w:rsidRPr="00761055">
              <w:rPr>
                <w:rFonts w:cstheme="minorHAnsi"/>
                <w:color w:val="000000"/>
                <w:sz w:val="18"/>
                <w:szCs w:val="18"/>
              </w:rPr>
              <w:t>-4,0%</w:t>
            </w:r>
          </w:p>
        </w:tc>
        <w:tc>
          <w:tcPr>
            <w:tcW w:w="5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5D" w14:textId="77777777" w:rsidR="00573680" w:rsidRPr="00761055" w:rsidRDefault="00573680">
            <w:pPr>
              <w:jc w:val="right"/>
              <w:rPr>
                <w:rFonts w:cstheme="minorHAnsi"/>
                <w:color w:val="000000"/>
                <w:sz w:val="18"/>
                <w:szCs w:val="18"/>
              </w:rPr>
            </w:pPr>
            <w:r w:rsidRPr="00761055">
              <w:rPr>
                <w:rFonts w:cstheme="minorHAnsi"/>
                <w:color w:val="000000"/>
                <w:sz w:val="18"/>
                <w:szCs w:val="18"/>
              </w:rPr>
              <w:t>-5,0%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5E"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5F"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60" w14:textId="77777777" w:rsidR="00573680" w:rsidRPr="00761055" w:rsidRDefault="00573680">
            <w:pPr>
              <w:jc w:val="right"/>
              <w:rPr>
                <w:rFonts w:cstheme="minorHAnsi"/>
                <w:color w:val="000000"/>
                <w:sz w:val="18"/>
                <w:szCs w:val="18"/>
              </w:rPr>
            </w:pPr>
            <w:r w:rsidRPr="00761055">
              <w:rPr>
                <w:rFonts w:cstheme="minorHAnsi"/>
                <w:color w:val="000000"/>
                <w:sz w:val="18"/>
                <w:szCs w:val="18"/>
              </w:rPr>
              <w:t>102,0%</w:t>
            </w:r>
          </w:p>
        </w:tc>
      </w:tr>
      <w:tr w:rsidR="007A2E50" w:rsidRPr="00761055" w14:paraId="569F2275" w14:textId="77777777" w:rsidTr="002F33BC">
        <w:trPr>
          <w:trHeight w:val="300"/>
        </w:trPr>
        <w:tc>
          <w:tcPr>
            <w:tcW w:w="2024" w:type="dxa"/>
            <w:tcBorders>
              <w:top w:val="nil"/>
              <w:left w:val="nil"/>
              <w:bottom w:val="nil"/>
              <w:right w:val="nil"/>
            </w:tcBorders>
            <w:shd w:val="clear" w:color="auto" w:fill="auto"/>
            <w:noWrap/>
            <w:vAlign w:val="bottom"/>
            <w:hideMark/>
          </w:tcPr>
          <w:p w14:paraId="569F2262"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Zoetermeer</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3" w14:textId="77777777" w:rsidR="00573680" w:rsidRPr="00761055" w:rsidRDefault="00573680">
            <w:pPr>
              <w:jc w:val="right"/>
              <w:rPr>
                <w:rFonts w:cstheme="minorHAnsi"/>
                <w:color w:val="000000"/>
                <w:sz w:val="18"/>
                <w:szCs w:val="18"/>
              </w:rPr>
            </w:pPr>
            <w:r w:rsidRPr="00761055">
              <w:rPr>
                <w:rFonts w:cstheme="minorHAnsi"/>
                <w:color w:val="000000"/>
                <w:sz w:val="18"/>
                <w:szCs w:val="18"/>
              </w:rPr>
              <w:t>16,5%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4" w14:textId="77777777" w:rsidR="00573680" w:rsidRPr="00761055" w:rsidRDefault="00573680">
            <w:pPr>
              <w:jc w:val="right"/>
              <w:rPr>
                <w:rFonts w:cstheme="minorHAnsi"/>
                <w:color w:val="000000"/>
                <w:sz w:val="18"/>
                <w:szCs w:val="18"/>
              </w:rPr>
            </w:pPr>
            <w:r w:rsidRPr="00761055">
              <w:rPr>
                <w:rFonts w:cstheme="minorHAnsi"/>
                <w:color w:val="000000"/>
                <w:sz w:val="18"/>
                <w:szCs w:val="18"/>
              </w:rPr>
              <w:t>14,1%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5" w14:textId="77777777" w:rsidR="00573680" w:rsidRPr="00761055" w:rsidRDefault="00573680">
            <w:pPr>
              <w:jc w:val="right"/>
              <w:rPr>
                <w:rFonts w:cstheme="minorHAnsi"/>
                <w:color w:val="000000"/>
                <w:sz w:val="18"/>
                <w:szCs w:val="18"/>
              </w:rPr>
            </w:pPr>
            <w:r w:rsidRPr="00761055">
              <w:rPr>
                <w:rFonts w:cstheme="minorHAnsi"/>
                <w:color w:val="000000"/>
                <w:sz w:val="18"/>
                <w:szCs w:val="18"/>
              </w:rPr>
              <w:t>10,5%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6" w14:textId="77777777" w:rsidR="00573680" w:rsidRPr="00761055" w:rsidRDefault="00573680">
            <w:pPr>
              <w:jc w:val="right"/>
              <w:rPr>
                <w:rFonts w:cstheme="minorHAnsi"/>
                <w:color w:val="000000"/>
                <w:sz w:val="18"/>
                <w:szCs w:val="18"/>
              </w:rPr>
            </w:pPr>
            <w:r w:rsidRPr="00761055">
              <w:rPr>
                <w:rFonts w:cstheme="minorHAnsi"/>
                <w:color w:val="000000"/>
                <w:sz w:val="18"/>
                <w:szCs w:val="18"/>
              </w:rPr>
              <w:t>11,8%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7" w14:textId="77777777" w:rsidR="00573680" w:rsidRPr="00761055" w:rsidRDefault="00573680">
            <w:pPr>
              <w:jc w:val="right"/>
              <w:rPr>
                <w:rFonts w:cstheme="minorHAnsi"/>
                <w:color w:val="000000"/>
                <w:sz w:val="18"/>
                <w:szCs w:val="18"/>
              </w:rPr>
            </w:pPr>
            <w:r w:rsidRPr="00761055">
              <w:rPr>
                <w:rFonts w:cstheme="minorHAnsi"/>
                <w:color w:val="000000"/>
                <w:sz w:val="18"/>
                <w:szCs w:val="18"/>
              </w:rPr>
              <w:t>9,7%</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8" w14:textId="77777777" w:rsidR="00573680" w:rsidRPr="00761055" w:rsidRDefault="00573680">
            <w:pPr>
              <w:jc w:val="right"/>
              <w:rPr>
                <w:rFonts w:cstheme="minorHAnsi"/>
                <w:color w:val="000000"/>
                <w:sz w:val="18"/>
                <w:szCs w:val="18"/>
              </w:rPr>
            </w:pPr>
            <w:r w:rsidRPr="00761055">
              <w:rPr>
                <w:rFonts w:cstheme="minorHAnsi"/>
                <w:color w:val="000000"/>
                <w:sz w:val="18"/>
                <w:szCs w:val="18"/>
              </w:rPr>
              <w:t>6,5%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9" w14:textId="77777777" w:rsidR="00573680" w:rsidRPr="00761055" w:rsidRDefault="00573680">
            <w:pPr>
              <w:jc w:val="right"/>
              <w:rPr>
                <w:rFonts w:cstheme="minorHAnsi"/>
                <w:color w:val="000000"/>
                <w:sz w:val="18"/>
                <w:szCs w:val="18"/>
              </w:rPr>
            </w:pPr>
            <w:r w:rsidRPr="00761055">
              <w:rPr>
                <w:rFonts w:cstheme="minorHAnsi"/>
                <w:color w:val="000000"/>
                <w:sz w:val="18"/>
                <w:szCs w:val="18"/>
              </w:rPr>
              <w:t>67,1%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A" w14:textId="77777777" w:rsidR="00573680" w:rsidRPr="00761055" w:rsidRDefault="00573680">
            <w:pPr>
              <w:jc w:val="right"/>
              <w:rPr>
                <w:rFonts w:cstheme="minorHAnsi"/>
                <w:color w:val="000000"/>
                <w:sz w:val="18"/>
                <w:szCs w:val="18"/>
              </w:rPr>
            </w:pPr>
            <w:r w:rsidRPr="00761055">
              <w:rPr>
                <w:rFonts w:cstheme="minorHAnsi"/>
                <w:color w:val="000000"/>
                <w:sz w:val="18"/>
                <w:szCs w:val="18"/>
              </w:rPr>
              <w:t>64,5%</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B" w14:textId="77777777" w:rsidR="00573680" w:rsidRPr="00761055" w:rsidRDefault="00573680">
            <w:pPr>
              <w:jc w:val="right"/>
              <w:rPr>
                <w:rFonts w:cstheme="minorHAnsi"/>
                <w:color w:val="000000"/>
                <w:sz w:val="18"/>
                <w:szCs w:val="18"/>
              </w:rPr>
            </w:pPr>
            <w:r w:rsidRPr="00761055">
              <w:rPr>
                <w:rFonts w:cstheme="minorHAnsi"/>
                <w:color w:val="000000"/>
                <w:sz w:val="18"/>
                <w:szCs w:val="18"/>
              </w:rPr>
              <w:t>62,4%</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C" w14:textId="77777777" w:rsidR="00573680" w:rsidRPr="00761055" w:rsidRDefault="00573680">
            <w:pPr>
              <w:jc w:val="right"/>
              <w:rPr>
                <w:rFonts w:cstheme="minorHAnsi"/>
                <w:color w:val="000000"/>
                <w:sz w:val="18"/>
                <w:szCs w:val="18"/>
              </w:rPr>
            </w:pPr>
            <w:r w:rsidRPr="00761055">
              <w:rPr>
                <w:rFonts w:cstheme="minorHAnsi"/>
                <w:color w:val="000000"/>
                <w:sz w:val="18"/>
                <w:szCs w:val="18"/>
              </w:rPr>
              <w:t>14,7%</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D" w14:textId="77777777" w:rsidR="00573680" w:rsidRPr="00761055" w:rsidRDefault="00573680">
            <w:pPr>
              <w:jc w:val="right"/>
              <w:rPr>
                <w:rFonts w:cstheme="minorHAnsi"/>
                <w:color w:val="000000"/>
                <w:sz w:val="18"/>
                <w:szCs w:val="18"/>
              </w:rPr>
            </w:pPr>
            <w:r w:rsidRPr="00761055">
              <w:rPr>
                <w:rFonts w:cstheme="minorHAnsi"/>
                <w:color w:val="000000"/>
                <w:sz w:val="18"/>
                <w:szCs w:val="18"/>
              </w:rPr>
              <w:t>10,6%</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E" w14:textId="77777777" w:rsidR="00573680" w:rsidRPr="00761055" w:rsidRDefault="00573680">
            <w:pPr>
              <w:jc w:val="right"/>
              <w:rPr>
                <w:rFonts w:cstheme="minorHAnsi"/>
                <w:color w:val="000000"/>
                <w:sz w:val="18"/>
                <w:szCs w:val="18"/>
              </w:rPr>
            </w:pPr>
            <w:r w:rsidRPr="00761055">
              <w:rPr>
                <w:rFonts w:cstheme="minorHAnsi"/>
                <w:color w:val="000000"/>
                <w:sz w:val="18"/>
                <w:szCs w:val="18"/>
              </w:rPr>
              <w:t>9,0%</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6F" w14:textId="77777777" w:rsidR="00573680" w:rsidRPr="00761055" w:rsidRDefault="00573680">
            <w:pPr>
              <w:jc w:val="right"/>
              <w:rPr>
                <w:rFonts w:cstheme="minorHAnsi"/>
                <w:color w:val="000000"/>
                <w:sz w:val="18"/>
                <w:szCs w:val="18"/>
              </w:rPr>
            </w:pPr>
            <w:r w:rsidRPr="00761055">
              <w:rPr>
                <w:rFonts w:cstheme="minorHAnsi"/>
                <w:color w:val="000000"/>
                <w:sz w:val="18"/>
                <w:szCs w:val="18"/>
              </w:rPr>
              <w:t>0,4%</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70" w14:textId="77777777" w:rsidR="00573680" w:rsidRPr="00761055" w:rsidRDefault="00573680">
            <w:pPr>
              <w:jc w:val="right"/>
              <w:rPr>
                <w:rFonts w:cstheme="minorHAnsi"/>
                <w:color w:val="000000"/>
                <w:sz w:val="18"/>
                <w:szCs w:val="18"/>
              </w:rPr>
            </w:pPr>
            <w:r w:rsidRPr="00761055">
              <w:rPr>
                <w:rFonts w:cstheme="minorHAnsi"/>
                <w:color w:val="000000"/>
                <w:sz w:val="18"/>
                <w:szCs w:val="18"/>
              </w:rPr>
              <w:t>2,7%</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71" w14:textId="77777777" w:rsidR="00573680" w:rsidRPr="00761055" w:rsidRDefault="00573680">
            <w:pPr>
              <w:jc w:val="right"/>
              <w:rPr>
                <w:rFonts w:cstheme="minorHAnsi"/>
                <w:color w:val="000000"/>
                <w:sz w:val="18"/>
                <w:szCs w:val="18"/>
              </w:rPr>
            </w:pPr>
            <w:r w:rsidRPr="00761055">
              <w:rPr>
                <w:rFonts w:cstheme="minorHAnsi"/>
                <w:color w:val="000000"/>
                <w:sz w:val="18"/>
                <w:szCs w:val="18"/>
              </w:rPr>
              <w:t>1,5%</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72" w14:textId="77777777" w:rsidR="00573680" w:rsidRPr="00761055" w:rsidRDefault="00573680">
            <w:pPr>
              <w:jc w:val="right"/>
              <w:rPr>
                <w:rFonts w:cstheme="minorHAnsi"/>
                <w:color w:val="000000"/>
                <w:sz w:val="18"/>
                <w:szCs w:val="18"/>
              </w:rPr>
            </w:pPr>
            <w:r w:rsidRPr="00761055">
              <w:rPr>
                <w:rFonts w:cstheme="minorHAnsi"/>
                <w:color w:val="000000"/>
                <w:sz w:val="18"/>
                <w:szCs w:val="18"/>
              </w:rPr>
              <w:t>100,8%</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73" w14:textId="77777777" w:rsidR="00573680" w:rsidRPr="00761055" w:rsidRDefault="00573680">
            <w:pPr>
              <w:jc w:val="right"/>
              <w:rPr>
                <w:rFonts w:cstheme="minorHAnsi"/>
                <w:color w:val="000000"/>
                <w:sz w:val="18"/>
                <w:szCs w:val="18"/>
              </w:rPr>
            </w:pPr>
            <w:r w:rsidRPr="00761055">
              <w:rPr>
                <w:rFonts w:cstheme="minorHAnsi"/>
                <w:color w:val="000000"/>
                <w:sz w:val="18"/>
                <w:szCs w:val="18"/>
              </w:rPr>
              <w:t>99,6%</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74" w14:textId="77777777" w:rsidR="00573680" w:rsidRPr="00761055" w:rsidRDefault="00573680">
            <w:pPr>
              <w:jc w:val="right"/>
              <w:rPr>
                <w:rFonts w:cstheme="minorHAnsi"/>
                <w:color w:val="000000"/>
                <w:sz w:val="18"/>
                <w:szCs w:val="18"/>
              </w:rPr>
            </w:pPr>
            <w:r w:rsidRPr="00761055">
              <w:rPr>
                <w:rFonts w:cstheme="minorHAnsi"/>
                <w:color w:val="000000"/>
                <w:sz w:val="18"/>
                <w:szCs w:val="18"/>
              </w:rPr>
              <w:t>99,5%</w:t>
            </w:r>
          </w:p>
        </w:tc>
      </w:tr>
      <w:tr w:rsidR="007A2E50" w:rsidRPr="00761055" w14:paraId="569F2289" w14:textId="77777777" w:rsidTr="002F33BC">
        <w:trPr>
          <w:trHeight w:val="300"/>
        </w:trPr>
        <w:tc>
          <w:tcPr>
            <w:tcW w:w="2024" w:type="dxa"/>
            <w:tcBorders>
              <w:top w:val="nil"/>
              <w:left w:val="nil"/>
              <w:bottom w:val="nil"/>
              <w:right w:val="nil"/>
            </w:tcBorders>
            <w:shd w:val="clear" w:color="auto" w:fill="auto"/>
            <w:noWrap/>
            <w:vAlign w:val="bottom"/>
            <w:hideMark/>
          </w:tcPr>
          <w:p w14:paraId="569F2276"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Zoeterwoude</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77" w14:textId="77777777" w:rsidR="00573680" w:rsidRPr="00761055" w:rsidRDefault="00573680">
            <w:pPr>
              <w:jc w:val="right"/>
              <w:rPr>
                <w:rFonts w:cstheme="minorHAnsi"/>
                <w:color w:val="000000"/>
                <w:sz w:val="18"/>
                <w:szCs w:val="18"/>
              </w:rPr>
            </w:pPr>
            <w:r w:rsidRPr="00761055">
              <w:rPr>
                <w:rFonts w:cstheme="minorHAnsi"/>
                <w:color w:val="000000"/>
                <w:sz w:val="18"/>
                <w:szCs w:val="18"/>
              </w:rPr>
              <w:t>38,8%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78" w14:textId="77777777" w:rsidR="00573680" w:rsidRPr="00761055" w:rsidRDefault="00573680">
            <w:pPr>
              <w:jc w:val="right"/>
              <w:rPr>
                <w:rFonts w:cstheme="minorHAnsi"/>
                <w:color w:val="000000"/>
                <w:sz w:val="18"/>
                <w:szCs w:val="18"/>
              </w:rPr>
            </w:pPr>
            <w:r w:rsidRPr="00761055">
              <w:rPr>
                <w:rFonts w:cstheme="minorHAnsi"/>
                <w:color w:val="000000"/>
                <w:sz w:val="18"/>
                <w:szCs w:val="18"/>
              </w:rPr>
              <w:t>53,9%</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79" w14:textId="77777777" w:rsidR="00573680" w:rsidRPr="00761055" w:rsidRDefault="00573680">
            <w:pPr>
              <w:jc w:val="right"/>
              <w:rPr>
                <w:rFonts w:cstheme="minorHAnsi"/>
                <w:color w:val="000000"/>
                <w:sz w:val="18"/>
                <w:szCs w:val="18"/>
              </w:rPr>
            </w:pPr>
            <w:r w:rsidRPr="00761055">
              <w:rPr>
                <w:rFonts w:cstheme="minorHAnsi"/>
                <w:color w:val="000000"/>
                <w:sz w:val="18"/>
                <w:szCs w:val="18"/>
              </w:rPr>
              <w:t>61,5%</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7A" w14:textId="77777777" w:rsidR="00573680" w:rsidRPr="00761055" w:rsidRDefault="00573680">
            <w:pPr>
              <w:jc w:val="right"/>
              <w:rPr>
                <w:rFonts w:cstheme="minorHAnsi"/>
                <w:color w:val="000000"/>
                <w:sz w:val="18"/>
                <w:szCs w:val="18"/>
              </w:rPr>
            </w:pPr>
            <w:r w:rsidRPr="00761055">
              <w:rPr>
                <w:rFonts w:cstheme="minorHAnsi"/>
                <w:color w:val="000000"/>
                <w:sz w:val="18"/>
                <w:szCs w:val="18"/>
              </w:rPr>
              <w:t>-3,8%</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7B" w14:textId="77777777" w:rsidR="00573680" w:rsidRPr="00761055" w:rsidRDefault="00573680">
            <w:pPr>
              <w:jc w:val="right"/>
              <w:rPr>
                <w:rFonts w:cstheme="minorHAnsi"/>
                <w:color w:val="000000"/>
                <w:sz w:val="18"/>
                <w:szCs w:val="18"/>
              </w:rPr>
            </w:pPr>
            <w:r w:rsidRPr="00761055">
              <w:rPr>
                <w:rFonts w:cstheme="minorHAnsi"/>
                <w:color w:val="000000"/>
                <w:sz w:val="18"/>
                <w:szCs w:val="18"/>
              </w:rPr>
              <w:t>9,2%</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7C" w14:textId="77777777" w:rsidR="00573680" w:rsidRPr="00761055" w:rsidRDefault="00573680">
            <w:pPr>
              <w:jc w:val="right"/>
              <w:rPr>
                <w:rFonts w:cstheme="minorHAnsi"/>
                <w:color w:val="000000"/>
                <w:sz w:val="18"/>
                <w:szCs w:val="18"/>
              </w:rPr>
            </w:pPr>
            <w:r w:rsidRPr="00761055">
              <w:rPr>
                <w:rFonts w:cstheme="minorHAnsi"/>
                <w:color w:val="000000"/>
                <w:sz w:val="18"/>
                <w:szCs w:val="18"/>
              </w:rPr>
              <w:t>16,9%</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7D" w14:textId="77777777" w:rsidR="00573680" w:rsidRPr="00761055" w:rsidRDefault="00573680">
            <w:pPr>
              <w:jc w:val="right"/>
              <w:rPr>
                <w:rFonts w:cstheme="minorHAnsi"/>
                <w:color w:val="000000"/>
                <w:sz w:val="18"/>
                <w:szCs w:val="18"/>
              </w:rPr>
            </w:pPr>
            <w:r w:rsidRPr="00761055">
              <w:rPr>
                <w:rFonts w:cstheme="minorHAnsi"/>
                <w:color w:val="000000"/>
                <w:sz w:val="18"/>
                <w:szCs w:val="18"/>
              </w:rPr>
              <w:t>45,0%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7E" w14:textId="77777777" w:rsidR="00573680" w:rsidRPr="00761055" w:rsidRDefault="00573680">
            <w:pPr>
              <w:jc w:val="right"/>
              <w:rPr>
                <w:rFonts w:cstheme="minorHAnsi"/>
                <w:color w:val="000000"/>
                <w:sz w:val="18"/>
                <w:szCs w:val="18"/>
              </w:rPr>
            </w:pPr>
            <w:r w:rsidRPr="00761055">
              <w:rPr>
                <w:rFonts w:cstheme="minorHAnsi"/>
                <w:color w:val="000000"/>
                <w:sz w:val="18"/>
                <w:szCs w:val="18"/>
              </w:rPr>
              <w:t>43,9%</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7F" w14:textId="77777777" w:rsidR="00573680" w:rsidRPr="00761055" w:rsidRDefault="00573680">
            <w:pPr>
              <w:jc w:val="right"/>
              <w:rPr>
                <w:rFonts w:cstheme="minorHAnsi"/>
                <w:color w:val="000000"/>
                <w:sz w:val="18"/>
                <w:szCs w:val="18"/>
              </w:rPr>
            </w:pPr>
            <w:r w:rsidRPr="00761055">
              <w:rPr>
                <w:rFonts w:cstheme="minorHAnsi"/>
                <w:color w:val="000000"/>
                <w:sz w:val="18"/>
                <w:szCs w:val="18"/>
              </w:rPr>
              <w:t>42,0%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80" w14:textId="77777777" w:rsidR="00573680" w:rsidRPr="00761055" w:rsidRDefault="00573680">
            <w:pPr>
              <w:jc w:val="right"/>
              <w:rPr>
                <w:rFonts w:cstheme="minorHAnsi"/>
                <w:color w:val="000000"/>
                <w:sz w:val="18"/>
                <w:szCs w:val="18"/>
              </w:rPr>
            </w:pPr>
            <w:r w:rsidRPr="00761055">
              <w:rPr>
                <w:rFonts w:cstheme="minorHAnsi"/>
                <w:color w:val="000000"/>
                <w:sz w:val="18"/>
                <w:szCs w:val="18"/>
              </w:rPr>
              <w:t>8,1%</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81" w14:textId="77777777" w:rsidR="00573680" w:rsidRPr="00761055" w:rsidRDefault="00573680">
            <w:pPr>
              <w:jc w:val="right"/>
              <w:rPr>
                <w:rFonts w:cstheme="minorHAnsi"/>
                <w:color w:val="000000"/>
                <w:sz w:val="18"/>
                <w:szCs w:val="18"/>
              </w:rPr>
            </w:pPr>
            <w:r w:rsidRPr="00761055">
              <w:rPr>
                <w:rFonts w:cstheme="minorHAnsi"/>
                <w:color w:val="000000"/>
                <w:sz w:val="18"/>
                <w:szCs w:val="18"/>
              </w:rPr>
              <w:t>11,9%</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82" w14:textId="77777777" w:rsidR="00573680" w:rsidRPr="00761055" w:rsidRDefault="00573680">
            <w:pPr>
              <w:jc w:val="right"/>
              <w:rPr>
                <w:rFonts w:cstheme="minorHAnsi"/>
                <w:color w:val="000000"/>
                <w:sz w:val="18"/>
                <w:szCs w:val="18"/>
              </w:rPr>
            </w:pPr>
            <w:r w:rsidRPr="00761055">
              <w:rPr>
                <w:rFonts w:cstheme="minorHAnsi"/>
                <w:color w:val="000000"/>
                <w:sz w:val="18"/>
                <w:szCs w:val="18"/>
              </w:rPr>
              <w:t>11,8%</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83" w14:textId="77777777" w:rsidR="00573680" w:rsidRPr="00761055" w:rsidRDefault="00573680">
            <w:pPr>
              <w:jc w:val="right"/>
              <w:rPr>
                <w:rFonts w:cstheme="minorHAnsi"/>
                <w:color w:val="000000"/>
                <w:sz w:val="18"/>
                <w:szCs w:val="18"/>
              </w:rPr>
            </w:pPr>
            <w:r w:rsidRPr="00761055">
              <w:rPr>
                <w:rFonts w:cstheme="minorHAnsi"/>
                <w:color w:val="000000"/>
                <w:sz w:val="18"/>
                <w:szCs w:val="18"/>
              </w:rPr>
              <w:t>4,0%</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84"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85" w14:textId="77777777" w:rsidR="00573680" w:rsidRPr="00761055" w:rsidRDefault="00573680">
            <w:pPr>
              <w:jc w:val="right"/>
              <w:rPr>
                <w:rFonts w:cstheme="minorHAnsi"/>
                <w:color w:val="000000"/>
                <w:sz w:val="18"/>
                <w:szCs w:val="18"/>
              </w:rPr>
            </w:pPr>
            <w:r w:rsidRPr="00761055">
              <w:rPr>
                <w:rFonts w:cstheme="minorHAnsi"/>
                <w:color w:val="000000"/>
                <w:sz w:val="18"/>
                <w:szCs w:val="18"/>
              </w:rPr>
              <w:t>1,4%</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86" w14:textId="77777777" w:rsidR="00573680" w:rsidRPr="00761055" w:rsidRDefault="00573680">
            <w:pPr>
              <w:jc w:val="right"/>
              <w:rPr>
                <w:rFonts w:cstheme="minorHAnsi"/>
                <w:color w:val="000000"/>
                <w:sz w:val="18"/>
                <w:szCs w:val="18"/>
              </w:rPr>
            </w:pPr>
            <w:r w:rsidRPr="00761055">
              <w:rPr>
                <w:rFonts w:cstheme="minorHAnsi"/>
                <w:color w:val="000000"/>
                <w:sz w:val="18"/>
                <w:szCs w:val="18"/>
              </w:rPr>
              <w:t>116,0%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87" w14:textId="77777777" w:rsidR="00573680" w:rsidRPr="00761055" w:rsidRDefault="00573680">
            <w:pPr>
              <w:jc w:val="right"/>
              <w:rPr>
                <w:rFonts w:cstheme="minorHAnsi"/>
                <w:color w:val="000000"/>
                <w:sz w:val="18"/>
                <w:szCs w:val="18"/>
              </w:rPr>
            </w:pPr>
            <w:r w:rsidRPr="00761055">
              <w:rPr>
                <w:rFonts w:cstheme="minorHAnsi"/>
                <w:color w:val="000000"/>
                <w:sz w:val="18"/>
                <w:szCs w:val="18"/>
              </w:rPr>
              <w:t>110,0%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88" w14:textId="77777777" w:rsidR="00573680" w:rsidRPr="00761055" w:rsidRDefault="00573680">
            <w:pPr>
              <w:jc w:val="right"/>
              <w:rPr>
                <w:rFonts w:cstheme="minorHAnsi"/>
                <w:color w:val="000000"/>
                <w:sz w:val="18"/>
                <w:szCs w:val="18"/>
              </w:rPr>
            </w:pPr>
            <w:r w:rsidRPr="00761055">
              <w:rPr>
                <w:rFonts w:cstheme="minorHAnsi"/>
                <w:color w:val="000000"/>
                <w:sz w:val="18"/>
                <w:szCs w:val="18"/>
              </w:rPr>
              <w:t>108,0%</w:t>
            </w:r>
          </w:p>
        </w:tc>
      </w:tr>
      <w:tr w:rsidR="007A2E50" w:rsidRPr="00761055" w14:paraId="569F229D" w14:textId="77777777" w:rsidTr="002F33BC">
        <w:trPr>
          <w:trHeight w:val="300"/>
        </w:trPr>
        <w:tc>
          <w:tcPr>
            <w:tcW w:w="2024" w:type="dxa"/>
            <w:tcBorders>
              <w:top w:val="nil"/>
              <w:left w:val="nil"/>
              <w:bottom w:val="nil"/>
              <w:right w:val="nil"/>
            </w:tcBorders>
            <w:shd w:val="clear" w:color="auto" w:fill="auto"/>
            <w:noWrap/>
            <w:vAlign w:val="bottom"/>
            <w:hideMark/>
          </w:tcPr>
          <w:p w14:paraId="569F228A"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Zuidplas</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8B"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8C"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8D" w14:textId="77777777" w:rsidR="00573680" w:rsidRPr="00761055" w:rsidRDefault="00573680">
            <w:pPr>
              <w:jc w:val="right"/>
              <w:rPr>
                <w:rFonts w:cstheme="minorHAnsi"/>
                <w:color w:val="000000"/>
                <w:sz w:val="18"/>
                <w:szCs w:val="18"/>
              </w:rPr>
            </w:pPr>
            <w:r w:rsidRPr="00761055">
              <w:rPr>
                <w:rFonts w:cstheme="minorHAnsi"/>
                <w:color w:val="000000"/>
                <w:sz w:val="18"/>
                <w:szCs w:val="18"/>
              </w:rPr>
              <w:t>122,0%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8E"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8F"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90" w14:textId="77777777" w:rsidR="00573680" w:rsidRPr="00761055" w:rsidRDefault="00573680">
            <w:pPr>
              <w:jc w:val="right"/>
              <w:rPr>
                <w:rFonts w:cstheme="minorHAnsi"/>
                <w:color w:val="000000"/>
                <w:sz w:val="18"/>
                <w:szCs w:val="18"/>
              </w:rPr>
            </w:pPr>
            <w:r w:rsidRPr="00761055">
              <w:rPr>
                <w:rFonts w:cstheme="minorHAnsi"/>
                <w:color w:val="000000"/>
                <w:sz w:val="18"/>
                <w:szCs w:val="18"/>
              </w:rPr>
              <w:t>104,0%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91"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92"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93" w14:textId="77777777" w:rsidR="00573680" w:rsidRPr="00761055" w:rsidRDefault="00573680">
            <w:pPr>
              <w:jc w:val="right"/>
              <w:rPr>
                <w:rFonts w:cstheme="minorHAnsi"/>
                <w:color w:val="000000"/>
                <w:sz w:val="18"/>
                <w:szCs w:val="18"/>
              </w:rPr>
            </w:pPr>
            <w:r w:rsidRPr="00761055">
              <w:rPr>
                <w:rFonts w:cstheme="minorHAnsi"/>
                <w:color w:val="000000"/>
                <w:sz w:val="18"/>
                <w:szCs w:val="18"/>
              </w:rPr>
              <w:t>37,0%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94"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95"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96" w14:textId="77777777" w:rsidR="00573680" w:rsidRPr="00761055" w:rsidRDefault="00573680">
            <w:pPr>
              <w:jc w:val="right"/>
              <w:rPr>
                <w:rFonts w:cstheme="minorHAnsi"/>
                <w:color w:val="000000"/>
                <w:sz w:val="18"/>
                <w:szCs w:val="18"/>
              </w:rPr>
            </w:pPr>
            <w:r w:rsidRPr="00761055">
              <w:rPr>
                <w:rFonts w:cstheme="minorHAnsi"/>
                <w:color w:val="000000"/>
                <w:sz w:val="18"/>
                <w:szCs w:val="18"/>
              </w:rPr>
              <w:t>49,0%</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97"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98"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99" w14:textId="77777777" w:rsidR="00573680" w:rsidRPr="00761055" w:rsidRDefault="00573680">
            <w:pPr>
              <w:jc w:val="right"/>
              <w:rPr>
                <w:rFonts w:cstheme="minorHAnsi"/>
                <w:color w:val="000000"/>
                <w:sz w:val="18"/>
                <w:szCs w:val="18"/>
              </w:rPr>
            </w:pPr>
            <w:r w:rsidRPr="00761055">
              <w:rPr>
                <w:rFonts w:cstheme="minorHAnsi"/>
                <w:color w:val="000000"/>
                <w:sz w:val="18"/>
                <w:szCs w:val="18"/>
              </w:rPr>
              <w:t>8,0%</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9A"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F229B" w14:textId="77777777" w:rsidR="00573680" w:rsidRPr="00761055" w:rsidRDefault="00573680">
            <w:pPr>
              <w:jc w:val="right"/>
              <w:rPr>
                <w:rFonts w:cstheme="minorHAnsi"/>
                <w:color w:val="000000"/>
                <w:sz w:val="18"/>
                <w:szCs w:val="18"/>
              </w:rPr>
            </w:pPr>
            <w:r w:rsidRPr="00761055">
              <w:rPr>
                <w:rFonts w:cstheme="minorHAnsi"/>
                <w:color w:val="000000"/>
                <w:sz w:val="18"/>
                <w:szCs w:val="18"/>
              </w:rPr>
              <w:t> </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9C" w14:textId="77777777" w:rsidR="00573680" w:rsidRPr="00761055" w:rsidRDefault="00573680">
            <w:pPr>
              <w:jc w:val="right"/>
              <w:rPr>
                <w:rFonts w:cstheme="minorHAnsi"/>
                <w:color w:val="000000"/>
                <w:sz w:val="18"/>
                <w:szCs w:val="18"/>
              </w:rPr>
            </w:pPr>
            <w:r w:rsidRPr="00761055">
              <w:rPr>
                <w:rFonts w:cstheme="minorHAnsi"/>
                <w:color w:val="000000"/>
                <w:sz w:val="18"/>
                <w:szCs w:val="18"/>
              </w:rPr>
              <w:t>117,6%</w:t>
            </w:r>
          </w:p>
        </w:tc>
      </w:tr>
      <w:tr w:rsidR="007A2E50" w:rsidRPr="00761055" w14:paraId="569F22B1" w14:textId="77777777" w:rsidTr="002F33BC">
        <w:trPr>
          <w:trHeight w:val="300"/>
        </w:trPr>
        <w:tc>
          <w:tcPr>
            <w:tcW w:w="2024" w:type="dxa"/>
            <w:tcBorders>
              <w:top w:val="nil"/>
              <w:left w:val="nil"/>
              <w:bottom w:val="nil"/>
              <w:right w:val="nil"/>
            </w:tcBorders>
            <w:shd w:val="clear" w:color="auto" w:fill="auto"/>
            <w:noWrap/>
            <w:vAlign w:val="bottom"/>
            <w:hideMark/>
          </w:tcPr>
          <w:p w14:paraId="569F229E" w14:textId="77777777" w:rsidR="00573680" w:rsidRPr="00761055" w:rsidRDefault="00573680" w:rsidP="0042408F">
            <w:pPr>
              <w:spacing w:line="240" w:lineRule="auto"/>
              <w:rPr>
                <w:rFonts w:eastAsia="Times New Roman" w:cstheme="minorHAnsi"/>
                <w:color w:val="000000"/>
                <w:sz w:val="18"/>
                <w:szCs w:val="18"/>
              </w:rPr>
            </w:pPr>
            <w:r w:rsidRPr="00761055">
              <w:rPr>
                <w:rFonts w:eastAsia="Times New Roman" w:cstheme="minorHAnsi"/>
                <w:color w:val="000000"/>
                <w:sz w:val="18"/>
                <w:szCs w:val="18"/>
              </w:rPr>
              <w:t>Zwijndrecht</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9F" w14:textId="77777777" w:rsidR="00573680" w:rsidRPr="00761055" w:rsidRDefault="00573680">
            <w:pPr>
              <w:jc w:val="right"/>
              <w:rPr>
                <w:rFonts w:cstheme="minorHAnsi"/>
                <w:color w:val="000000"/>
                <w:sz w:val="18"/>
                <w:szCs w:val="18"/>
              </w:rPr>
            </w:pPr>
            <w:r w:rsidRPr="00761055">
              <w:rPr>
                <w:rFonts w:cstheme="minorHAnsi"/>
                <w:color w:val="000000"/>
                <w:sz w:val="18"/>
                <w:szCs w:val="18"/>
              </w:rPr>
              <w:t>109,0%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A0" w14:textId="77777777" w:rsidR="00573680" w:rsidRPr="00761055" w:rsidRDefault="00573680">
            <w:pPr>
              <w:jc w:val="right"/>
              <w:rPr>
                <w:rFonts w:cstheme="minorHAnsi"/>
                <w:color w:val="000000"/>
                <w:sz w:val="18"/>
                <w:szCs w:val="18"/>
              </w:rPr>
            </w:pPr>
            <w:r w:rsidRPr="00761055">
              <w:rPr>
                <w:rFonts w:cstheme="minorHAnsi"/>
                <w:color w:val="000000"/>
                <w:sz w:val="18"/>
                <w:szCs w:val="18"/>
              </w:rPr>
              <w:t>105,0%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A1" w14:textId="77777777" w:rsidR="00573680" w:rsidRPr="00761055" w:rsidRDefault="00573680">
            <w:pPr>
              <w:jc w:val="right"/>
              <w:rPr>
                <w:rFonts w:cstheme="minorHAnsi"/>
                <w:color w:val="000000"/>
                <w:sz w:val="18"/>
                <w:szCs w:val="18"/>
              </w:rPr>
            </w:pPr>
            <w:r w:rsidRPr="00761055">
              <w:rPr>
                <w:rFonts w:cstheme="minorHAnsi"/>
                <w:color w:val="000000"/>
                <w:sz w:val="18"/>
                <w:szCs w:val="18"/>
              </w:rPr>
              <w:t>114,0%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A2" w14:textId="77777777" w:rsidR="00573680" w:rsidRPr="00761055" w:rsidRDefault="00573680">
            <w:pPr>
              <w:jc w:val="right"/>
              <w:rPr>
                <w:rFonts w:cstheme="minorHAnsi"/>
                <w:color w:val="000000"/>
                <w:sz w:val="18"/>
                <w:szCs w:val="18"/>
              </w:rPr>
            </w:pPr>
            <w:r w:rsidRPr="00761055">
              <w:rPr>
                <w:rFonts w:cstheme="minorHAnsi"/>
                <w:color w:val="000000"/>
                <w:sz w:val="18"/>
                <w:szCs w:val="18"/>
              </w:rPr>
              <w:t>97,0%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A3" w14:textId="77777777" w:rsidR="00573680" w:rsidRPr="00761055" w:rsidRDefault="00573680">
            <w:pPr>
              <w:jc w:val="right"/>
              <w:rPr>
                <w:rFonts w:cstheme="minorHAnsi"/>
                <w:color w:val="000000"/>
                <w:sz w:val="18"/>
                <w:szCs w:val="18"/>
              </w:rPr>
            </w:pPr>
            <w:r w:rsidRPr="00761055">
              <w:rPr>
                <w:rFonts w:cstheme="minorHAnsi"/>
                <w:color w:val="000000"/>
                <w:sz w:val="18"/>
                <w:szCs w:val="18"/>
              </w:rPr>
              <w:t>94,0%</w:t>
            </w:r>
          </w:p>
        </w:tc>
        <w:tc>
          <w:tcPr>
            <w:tcW w:w="6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F22A4" w14:textId="77777777" w:rsidR="00573680" w:rsidRPr="00761055" w:rsidRDefault="00573680">
            <w:pPr>
              <w:jc w:val="right"/>
              <w:rPr>
                <w:rFonts w:cstheme="minorHAnsi"/>
                <w:color w:val="000000"/>
                <w:sz w:val="18"/>
                <w:szCs w:val="18"/>
              </w:rPr>
            </w:pPr>
            <w:r w:rsidRPr="00761055">
              <w:rPr>
                <w:rFonts w:cstheme="minorHAnsi"/>
                <w:color w:val="000000"/>
                <w:sz w:val="18"/>
                <w:szCs w:val="18"/>
              </w:rPr>
              <w:t>108,0%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A5" w14:textId="77777777" w:rsidR="00573680" w:rsidRPr="00761055" w:rsidRDefault="00573680">
            <w:pPr>
              <w:jc w:val="right"/>
              <w:rPr>
                <w:rFonts w:cstheme="minorHAnsi"/>
                <w:color w:val="000000"/>
                <w:sz w:val="18"/>
                <w:szCs w:val="18"/>
              </w:rPr>
            </w:pPr>
            <w:r w:rsidRPr="00761055">
              <w:rPr>
                <w:rFonts w:cstheme="minorHAnsi"/>
                <w:color w:val="000000"/>
                <w:sz w:val="18"/>
                <w:szCs w:val="18"/>
              </w:rPr>
              <w:t>12,0%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A6" w14:textId="77777777" w:rsidR="00573680" w:rsidRPr="00761055" w:rsidRDefault="00573680">
            <w:pPr>
              <w:jc w:val="right"/>
              <w:rPr>
                <w:rFonts w:cstheme="minorHAnsi"/>
                <w:color w:val="000000"/>
                <w:sz w:val="18"/>
                <w:szCs w:val="18"/>
              </w:rPr>
            </w:pPr>
            <w:r w:rsidRPr="00761055">
              <w:rPr>
                <w:rFonts w:cstheme="minorHAnsi"/>
                <w:color w:val="000000"/>
                <w:sz w:val="18"/>
                <w:szCs w:val="18"/>
              </w:rPr>
              <w:t>10,0%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A7" w14:textId="77777777" w:rsidR="00573680" w:rsidRPr="00761055" w:rsidRDefault="00573680">
            <w:pPr>
              <w:jc w:val="right"/>
              <w:rPr>
                <w:rFonts w:cstheme="minorHAnsi"/>
                <w:color w:val="000000"/>
                <w:sz w:val="18"/>
                <w:szCs w:val="18"/>
              </w:rPr>
            </w:pPr>
            <w:r w:rsidRPr="00761055">
              <w:rPr>
                <w:rFonts w:cstheme="minorHAnsi"/>
                <w:color w:val="000000"/>
                <w:sz w:val="18"/>
                <w:szCs w:val="18"/>
              </w:rPr>
              <w:t>10,0%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A8" w14:textId="77777777" w:rsidR="00573680" w:rsidRPr="00761055" w:rsidRDefault="00573680">
            <w:pPr>
              <w:jc w:val="right"/>
              <w:rPr>
                <w:rFonts w:cstheme="minorHAnsi"/>
                <w:color w:val="000000"/>
                <w:sz w:val="18"/>
                <w:szCs w:val="18"/>
              </w:rPr>
            </w:pPr>
            <w:r w:rsidRPr="00761055">
              <w:rPr>
                <w:rFonts w:cstheme="minorHAnsi"/>
                <w:color w:val="000000"/>
                <w:sz w:val="18"/>
                <w:szCs w:val="18"/>
              </w:rPr>
              <w:t>-3,0%</w:t>
            </w:r>
          </w:p>
        </w:tc>
        <w:tc>
          <w:tcPr>
            <w:tcW w:w="6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A9" w14:textId="77777777" w:rsidR="00573680" w:rsidRPr="00761055" w:rsidRDefault="00573680">
            <w:pPr>
              <w:jc w:val="right"/>
              <w:rPr>
                <w:rFonts w:cstheme="minorHAnsi"/>
                <w:color w:val="000000"/>
                <w:sz w:val="18"/>
                <w:szCs w:val="18"/>
              </w:rPr>
            </w:pPr>
            <w:r w:rsidRPr="00761055">
              <w:rPr>
                <w:rFonts w:cstheme="minorHAnsi"/>
                <w:color w:val="000000"/>
                <w:sz w:val="18"/>
                <w:szCs w:val="18"/>
              </w:rPr>
              <w:t>-3,0%</w:t>
            </w:r>
          </w:p>
        </w:tc>
        <w:tc>
          <w:tcPr>
            <w:tcW w:w="6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AA" w14:textId="77777777" w:rsidR="00573680" w:rsidRPr="00761055" w:rsidRDefault="00573680">
            <w:pPr>
              <w:jc w:val="right"/>
              <w:rPr>
                <w:rFonts w:cstheme="minorHAnsi"/>
                <w:color w:val="000000"/>
                <w:sz w:val="18"/>
                <w:szCs w:val="18"/>
              </w:rPr>
            </w:pPr>
            <w:r w:rsidRPr="00761055">
              <w:rPr>
                <w:rFonts w:cstheme="minorHAnsi"/>
                <w:color w:val="000000"/>
                <w:sz w:val="18"/>
                <w:szCs w:val="18"/>
              </w:rPr>
              <w:t>-4,0%</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AB" w14:textId="77777777" w:rsidR="00573680" w:rsidRPr="00761055" w:rsidRDefault="00573680">
            <w:pPr>
              <w:jc w:val="right"/>
              <w:rPr>
                <w:rFonts w:cstheme="minorHAnsi"/>
                <w:color w:val="000000"/>
                <w:sz w:val="18"/>
                <w:szCs w:val="18"/>
              </w:rPr>
            </w:pPr>
            <w:r w:rsidRPr="00761055">
              <w:rPr>
                <w:rFonts w:cstheme="minorHAnsi"/>
                <w:color w:val="000000"/>
                <w:sz w:val="18"/>
                <w:szCs w:val="18"/>
              </w:rPr>
              <w:t>1,3%</w:t>
            </w:r>
          </w:p>
        </w:tc>
        <w:tc>
          <w:tcPr>
            <w:tcW w:w="6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AC" w14:textId="77777777" w:rsidR="00573680" w:rsidRPr="00761055" w:rsidRDefault="00573680">
            <w:pPr>
              <w:jc w:val="right"/>
              <w:rPr>
                <w:rFonts w:cstheme="minorHAnsi"/>
                <w:color w:val="000000"/>
                <w:sz w:val="18"/>
                <w:szCs w:val="18"/>
              </w:rPr>
            </w:pPr>
            <w:r w:rsidRPr="00761055">
              <w:rPr>
                <w:rFonts w:cstheme="minorHAnsi"/>
                <w:color w:val="000000"/>
                <w:sz w:val="18"/>
                <w:szCs w:val="18"/>
              </w:rPr>
              <w:t>0,3%</w:t>
            </w:r>
          </w:p>
        </w:tc>
        <w:tc>
          <w:tcPr>
            <w:tcW w:w="5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9F22AD" w14:textId="77777777" w:rsidR="00573680" w:rsidRPr="00761055" w:rsidRDefault="00573680">
            <w:pPr>
              <w:jc w:val="right"/>
              <w:rPr>
                <w:rFonts w:cstheme="minorHAnsi"/>
                <w:color w:val="000000"/>
                <w:sz w:val="18"/>
                <w:szCs w:val="18"/>
              </w:rPr>
            </w:pPr>
            <w:r w:rsidRPr="00761055">
              <w:rPr>
                <w:rFonts w:cstheme="minorHAnsi"/>
                <w:color w:val="000000"/>
                <w:sz w:val="18"/>
                <w:szCs w:val="18"/>
              </w:rPr>
              <w:t>0,4%</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AE" w14:textId="77777777" w:rsidR="00573680" w:rsidRPr="00761055" w:rsidRDefault="00573680">
            <w:pPr>
              <w:jc w:val="right"/>
              <w:rPr>
                <w:rFonts w:cstheme="minorHAnsi"/>
                <w:color w:val="000000"/>
                <w:sz w:val="18"/>
                <w:szCs w:val="18"/>
              </w:rPr>
            </w:pPr>
            <w:r w:rsidRPr="00761055">
              <w:rPr>
                <w:rFonts w:cstheme="minorHAnsi"/>
                <w:color w:val="000000"/>
                <w:sz w:val="18"/>
                <w:szCs w:val="18"/>
              </w:rPr>
              <w:t>106,0%</w:t>
            </w:r>
          </w:p>
        </w:tc>
        <w:tc>
          <w:tcPr>
            <w:tcW w:w="6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AF" w14:textId="77777777" w:rsidR="00573680" w:rsidRPr="00761055" w:rsidRDefault="00573680">
            <w:pPr>
              <w:jc w:val="right"/>
              <w:rPr>
                <w:rFonts w:cstheme="minorHAnsi"/>
                <w:color w:val="000000"/>
                <w:sz w:val="18"/>
                <w:szCs w:val="18"/>
              </w:rPr>
            </w:pPr>
            <w:r w:rsidRPr="00761055">
              <w:rPr>
                <w:rFonts w:cstheme="minorHAnsi"/>
                <w:color w:val="000000"/>
                <w:sz w:val="18"/>
                <w:szCs w:val="18"/>
              </w:rPr>
              <w:t>110,0%</w:t>
            </w:r>
          </w:p>
        </w:tc>
        <w:tc>
          <w:tcPr>
            <w:tcW w:w="6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9F22B0" w14:textId="77777777" w:rsidR="00573680" w:rsidRPr="00761055" w:rsidRDefault="00573680">
            <w:pPr>
              <w:jc w:val="right"/>
              <w:rPr>
                <w:rFonts w:cstheme="minorHAnsi"/>
                <w:color w:val="000000"/>
                <w:sz w:val="18"/>
                <w:szCs w:val="18"/>
              </w:rPr>
            </w:pPr>
            <w:r w:rsidRPr="00761055">
              <w:rPr>
                <w:rFonts w:cstheme="minorHAnsi"/>
                <w:color w:val="000000"/>
                <w:sz w:val="18"/>
                <w:szCs w:val="18"/>
              </w:rPr>
              <w:t>116,0%</w:t>
            </w:r>
          </w:p>
        </w:tc>
      </w:tr>
    </w:tbl>
    <w:p w14:paraId="569F22B2" w14:textId="77777777" w:rsidR="0042408F" w:rsidRPr="00F47C36" w:rsidRDefault="0042408F"/>
    <w:sectPr w:rsidR="0042408F" w:rsidRPr="00F47C36" w:rsidSect="0042408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8F"/>
    <w:rsid w:val="00006AD1"/>
    <w:rsid w:val="00024B19"/>
    <w:rsid w:val="000904A6"/>
    <w:rsid w:val="000932EA"/>
    <w:rsid w:val="00096F3A"/>
    <w:rsid w:val="000B34CF"/>
    <w:rsid w:val="000C1C19"/>
    <w:rsid w:val="000C76EA"/>
    <w:rsid w:val="00106041"/>
    <w:rsid w:val="00115F5D"/>
    <w:rsid w:val="00124801"/>
    <w:rsid w:val="00190AB2"/>
    <w:rsid w:val="001966D8"/>
    <w:rsid w:val="001A575A"/>
    <w:rsid w:val="001C23BD"/>
    <w:rsid w:val="001D5B1E"/>
    <w:rsid w:val="002025F2"/>
    <w:rsid w:val="00233466"/>
    <w:rsid w:val="0025657E"/>
    <w:rsid w:val="002757F2"/>
    <w:rsid w:val="002C2776"/>
    <w:rsid w:val="002E063D"/>
    <w:rsid w:val="002F33BC"/>
    <w:rsid w:val="00335D9B"/>
    <w:rsid w:val="00345B39"/>
    <w:rsid w:val="00367351"/>
    <w:rsid w:val="003C5FF1"/>
    <w:rsid w:val="003E76A0"/>
    <w:rsid w:val="003F4D4B"/>
    <w:rsid w:val="00403641"/>
    <w:rsid w:val="00405ACB"/>
    <w:rsid w:val="00414996"/>
    <w:rsid w:val="0042408F"/>
    <w:rsid w:val="00450C86"/>
    <w:rsid w:val="00471AB7"/>
    <w:rsid w:val="00481570"/>
    <w:rsid w:val="004823A8"/>
    <w:rsid w:val="004963DC"/>
    <w:rsid w:val="004A11A0"/>
    <w:rsid w:val="004C4647"/>
    <w:rsid w:val="004D4CE4"/>
    <w:rsid w:val="004D67EC"/>
    <w:rsid w:val="004F44A3"/>
    <w:rsid w:val="005402C4"/>
    <w:rsid w:val="00543D9E"/>
    <w:rsid w:val="00566760"/>
    <w:rsid w:val="00573680"/>
    <w:rsid w:val="005B0A1C"/>
    <w:rsid w:val="005C57C5"/>
    <w:rsid w:val="006334EB"/>
    <w:rsid w:val="006663E5"/>
    <w:rsid w:val="006A6689"/>
    <w:rsid w:val="006B38C9"/>
    <w:rsid w:val="006C079E"/>
    <w:rsid w:val="006F3E87"/>
    <w:rsid w:val="0072698D"/>
    <w:rsid w:val="00730E70"/>
    <w:rsid w:val="00761055"/>
    <w:rsid w:val="00774D5E"/>
    <w:rsid w:val="007830B1"/>
    <w:rsid w:val="007A2E50"/>
    <w:rsid w:val="007A51AE"/>
    <w:rsid w:val="00832D9C"/>
    <w:rsid w:val="00847517"/>
    <w:rsid w:val="00854417"/>
    <w:rsid w:val="00861D9B"/>
    <w:rsid w:val="008B2E1E"/>
    <w:rsid w:val="008C64ED"/>
    <w:rsid w:val="008E0DC9"/>
    <w:rsid w:val="00921879"/>
    <w:rsid w:val="009353CD"/>
    <w:rsid w:val="0097482F"/>
    <w:rsid w:val="009835B8"/>
    <w:rsid w:val="00A26512"/>
    <w:rsid w:val="00A317A4"/>
    <w:rsid w:val="00A34036"/>
    <w:rsid w:val="00A41A83"/>
    <w:rsid w:val="00A46162"/>
    <w:rsid w:val="00A519D9"/>
    <w:rsid w:val="00A81264"/>
    <w:rsid w:val="00AA6305"/>
    <w:rsid w:val="00AE5996"/>
    <w:rsid w:val="00B14B5A"/>
    <w:rsid w:val="00B17E02"/>
    <w:rsid w:val="00B33536"/>
    <w:rsid w:val="00B51837"/>
    <w:rsid w:val="00BA4FB2"/>
    <w:rsid w:val="00BB571E"/>
    <w:rsid w:val="00BD31B1"/>
    <w:rsid w:val="00BF613D"/>
    <w:rsid w:val="00C15EBF"/>
    <w:rsid w:val="00C32411"/>
    <w:rsid w:val="00C77731"/>
    <w:rsid w:val="00CE4FAE"/>
    <w:rsid w:val="00D313EE"/>
    <w:rsid w:val="00D40C73"/>
    <w:rsid w:val="00D5333A"/>
    <w:rsid w:val="00D72857"/>
    <w:rsid w:val="00D915BC"/>
    <w:rsid w:val="00D920AE"/>
    <w:rsid w:val="00DB05D9"/>
    <w:rsid w:val="00DB5A3A"/>
    <w:rsid w:val="00DC47BE"/>
    <w:rsid w:val="00DD5D33"/>
    <w:rsid w:val="00E328D0"/>
    <w:rsid w:val="00E6449E"/>
    <w:rsid w:val="00E76FA1"/>
    <w:rsid w:val="00E910D0"/>
    <w:rsid w:val="00EA20FC"/>
    <w:rsid w:val="00EE074F"/>
    <w:rsid w:val="00EE77BB"/>
    <w:rsid w:val="00EF4AB3"/>
    <w:rsid w:val="00F06500"/>
    <w:rsid w:val="00F148FC"/>
    <w:rsid w:val="00F261EF"/>
    <w:rsid w:val="00F27477"/>
    <w:rsid w:val="00F44D5C"/>
    <w:rsid w:val="00F459FF"/>
    <w:rsid w:val="00F47C36"/>
    <w:rsid w:val="00F9733C"/>
    <w:rsid w:val="00FF1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1D80"/>
  <w15:docId w15:val="{42391EA0-F84A-494F-B279-FADD2D1E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C36"/>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7C36"/>
    <w:pPr>
      <w:spacing w:after="0" w:line="284" w:lineRule="atLeast"/>
      <w:ind w:left="720"/>
      <w:contextualSpacing/>
    </w:pPr>
    <w:rPr>
      <w:rFonts w:ascii="Arial" w:hAnsi="Arial" w:cs="Arial"/>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44B0-F747-400D-A641-369F607C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10542</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bruggr</dc:creator>
  <cp:lastModifiedBy>Conrad-Smit, AJA</cp:lastModifiedBy>
  <cp:revision>2</cp:revision>
  <dcterms:created xsi:type="dcterms:W3CDTF">2016-06-09T11:05:00Z</dcterms:created>
  <dcterms:modified xsi:type="dcterms:W3CDTF">2016-06-09T11:05:00Z</dcterms:modified>
</cp:coreProperties>
</file>