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DD" w:rsidRDefault="009D19DD">
      <w:bookmarkStart w:id="0" w:name="_GoBack"/>
      <w:bookmarkEnd w:id="0"/>
    </w:p>
    <w:p w:rsidR="009D19DD" w:rsidRDefault="009D19DD"/>
    <w:p w:rsidR="009D19DD" w:rsidRDefault="009D19DD"/>
    <w:p w:rsidR="009D19DD" w:rsidRDefault="009D19DD"/>
    <w:p w:rsidR="009D19DD" w:rsidRDefault="009D19DD"/>
    <w:p w:rsidR="009D19DD" w:rsidRDefault="009D19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1E0" w:firstRow="1" w:lastRow="1" w:firstColumn="1" w:lastColumn="1" w:noHBand="0" w:noVBand="0"/>
      </w:tblPr>
      <w:tblGrid>
        <w:gridCol w:w="4536"/>
      </w:tblGrid>
      <w:tr w:rsidR="009D19DD" w:rsidTr="001D04A5">
        <w:trPr>
          <w:trHeight w:hRule="exact" w:val="1857"/>
        </w:trPr>
        <w:tc>
          <w:tcPr>
            <w:tcW w:w="4536" w:type="dxa"/>
            <w:tcBorders>
              <w:top w:val="nil"/>
              <w:left w:val="nil"/>
              <w:bottom w:val="nil"/>
              <w:right w:val="nil"/>
            </w:tcBorders>
          </w:tcPr>
          <w:p w:rsidR="00AB643E" w:rsidRDefault="00AB643E">
            <w:pPr>
              <w:framePr w:wrap="around" w:vAnchor="page" w:hAnchor="page" w:x="1759" w:y="2779" w:anchorLock="1"/>
            </w:pPr>
            <w:bookmarkStart w:id="1" w:name="bwAdres"/>
            <w:bookmarkEnd w:id="1"/>
            <w:r>
              <w:t>Gemeenschappelijke Regeling Dienst Gezondheid en Jeugd</w:t>
            </w:r>
          </w:p>
          <w:p w:rsidR="00AB643E" w:rsidRDefault="00AB643E">
            <w:pPr>
              <w:framePr w:wrap="around" w:vAnchor="page" w:hAnchor="page" w:x="1759" w:y="2779" w:anchorLock="1"/>
            </w:pPr>
            <w:r>
              <w:t>Algemeen Bestuur</w:t>
            </w:r>
          </w:p>
          <w:p w:rsidR="00AB643E" w:rsidRDefault="00AB643E">
            <w:pPr>
              <w:framePr w:wrap="around" w:vAnchor="page" w:hAnchor="page" w:x="1759" w:y="2779" w:anchorLock="1"/>
            </w:pPr>
            <w:r>
              <w:t>Postbus 388</w:t>
            </w:r>
          </w:p>
          <w:p w:rsidR="009D19DD" w:rsidRDefault="00AB643E">
            <w:pPr>
              <w:framePr w:wrap="around" w:vAnchor="page" w:hAnchor="page" w:x="1759" w:y="2779" w:anchorLock="1"/>
            </w:pPr>
            <w:r>
              <w:t>3300 AJ  DORDRECHT</w:t>
            </w:r>
          </w:p>
        </w:tc>
      </w:tr>
      <w:tr w:rsidR="009D19DD" w:rsidTr="001D04A5">
        <w:trPr>
          <w:trHeight w:hRule="exact" w:val="800"/>
        </w:trPr>
        <w:tc>
          <w:tcPr>
            <w:tcW w:w="4536" w:type="dxa"/>
            <w:tcBorders>
              <w:top w:val="nil"/>
              <w:left w:val="nil"/>
              <w:bottom w:val="nil"/>
              <w:right w:val="nil"/>
            </w:tcBorders>
          </w:tcPr>
          <w:p w:rsidR="009D19DD" w:rsidRDefault="009D19DD">
            <w:pPr>
              <w:framePr w:wrap="around" w:vAnchor="page" w:hAnchor="page" w:x="1759" w:y="2779" w:anchorLock="1"/>
            </w:pPr>
          </w:p>
        </w:tc>
      </w:tr>
    </w:tbl>
    <w:p w:rsidR="009D19DD" w:rsidRDefault="009D19DD">
      <w:pPr>
        <w:sectPr w:rsidR="009D19DD" w:rsidSect="00E34AB7">
          <w:headerReference w:type="first" r:id="rId7"/>
          <w:type w:val="continuous"/>
          <w:pgSz w:w="11906" w:h="16838" w:code="9"/>
          <w:pgMar w:top="3317" w:right="1134" w:bottom="1418" w:left="1758" w:header="709" w:footer="567" w:gutter="0"/>
          <w:paperSrc w:first="2" w:other="11"/>
          <w:cols w:space="708"/>
          <w:titlePg/>
        </w:sectPr>
      </w:pPr>
    </w:p>
    <w:p w:rsidR="009D19DD" w:rsidRDefault="009D19DD"/>
    <w:p w:rsidR="009D19DD" w:rsidRDefault="009D19DD"/>
    <w:tbl>
      <w:tblPr>
        <w:tblW w:w="0" w:type="auto"/>
        <w:tblInd w:w="-57" w:type="dxa"/>
        <w:tblLayout w:type="fixed"/>
        <w:tblCellMar>
          <w:left w:w="70" w:type="dxa"/>
          <w:right w:w="70" w:type="dxa"/>
        </w:tblCellMar>
        <w:tblLook w:val="01E0" w:firstRow="1" w:lastRow="1" w:firstColumn="1" w:lastColumn="1" w:noHBand="0" w:noVBand="0"/>
      </w:tblPr>
      <w:tblGrid>
        <w:gridCol w:w="2905"/>
        <w:gridCol w:w="567"/>
        <w:gridCol w:w="2977"/>
        <w:gridCol w:w="567"/>
        <w:gridCol w:w="2126"/>
      </w:tblGrid>
      <w:tr w:rsidR="009D19DD" w:rsidTr="001D04A5">
        <w:trPr>
          <w:trHeight w:hRule="exact" w:val="240"/>
        </w:trPr>
        <w:tc>
          <w:tcPr>
            <w:tcW w:w="2905" w:type="dxa"/>
            <w:vAlign w:val="bottom"/>
          </w:tcPr>
          <w:p w:rsidR="009D19DD" w:rsidRDefault="009D19DD">
            <w:pPr>
              <w:pStyle w:val="KenmerkKopje"/>
            </w:pPr>
            <w:r>
              <w:t>Onderwerp</w:t>
            </w:r>
          </w:p>
        </w:tc>
        <w:tc>
          <w:tcPr>
            <w:tcW w:w="567" w:type="dxa"/>
            <w:vAlign w:val="bottom"/>
          </w:tcPr>
          <w:p w:rsidR="009D19DD" w:rsidRDefault="009D19DD">
            <w:pPr>
              <w:pStyle w:val="KenmerkKopje"/>
            </w:pPr>
          </w:p>
        </w:tc>
        <w:tc>
          <w:tcPr>
            <w:tcW w:w="2977" w:type="dxa"/>
            <w:vAlign w:val="bottom"/>
          </w:tcPr>
          <w:p w:rsidR="009D19DD" w:rsidRDefault="009D19DD">
            <w:pPr>
              <w:pStyle w:val="KenmerkKopje"/>
              <w:tabs>
                <w:tab w:val="left" w:pos="1728"/>
              </w:tabs>
            </w:pPr>
            <w:r>
              <w:t>Van/behandeld door</w:t>
            </w:r>
          </w:p>
        </w:tc>
        <w:tc>
          <w:tcPr>
            <w:tcW w:w="567" w:type="dxa"/>
            <w:vAlign w:val="bottom"/>
          </w:tcPr>
          <w:p w:rsidR="009D19DD" w:rsidRDefault="009D19DD">
            <w:pPr>
              <w:pStyle w:val="KenmerkKopje"/>
            </w:pPr>
          </w:p>
        </w:tc>
        <w:tc>
          <w:tcPr>
            <w:tcW w:w="2126" w:type="dxa"/>
            <w:vAlign w:val="bottom"/>
          </w:tcPr>
          <w:p w:rsidR="009D19DD" w:rsidRDefault="009D19DD">
            <w:pPr>
              <w:pStyle w:val="KenmerkKopje"/>
            </w:pPr>
            <w:r>
              <w:t>Datum</w:t>
            </w:r>
          </w:p>
        </w:tc>
      </w:tr>
      <w:tr w:rsidR="009D19DD" w:rsidTr="001D04A5">
        <w:trPr>
          <w:trHeight w:val="240"/>
        </w:trPr>
        <w:tc>
          <w:tcPr>
            <w:tcW w:w="2905" w:type="dxa"/>
          </w:tcPr>
          <w:p w:rsidR="009D19DD" w:rsidRDefault="00AB643E">
            <w:pPr>
              <w:pStyle w:val="Kenmerk"/>
            </w:pPr>
            <w:bookmarkStart w:id="5" w:name="bwOnderwerp"/>
            <w:bookmarkStart w:id="6" w:name="bwRefOnderwerp"/>
            <w:bookmarkEnd w:id="5"/>
            <w:r>
              <w:t>Zienswijze continuering gedelegeerde en gemandateerde taken</w:t>
            </w:r>
            <w:r w:rsidR="009D19DD">
              <w:t xml:space="preserve"> </w:t>
            </w:r>
            <w:bookmarkEnd w:id="6"/>
            <w:r w:rsidR="009D19DD">
              <w:t xml:space="preserve"> </w:t>
            </w:r>
          </w:p>
        </w:tc>
        <w:tc>
          <w:tcPr>
            <w:tcW w:w="567" w:type="dxa"/>
          </w:tcPr>
          <w:p w:rsidR="009D19DD" w:rsidRDefault="009D19DD">
            <w:pPr>
              <w:pStyle w:val="Kenmerk"/>
            </w:pPr>
          </w:p>
        </w:tc>
        <w:tc>
          <w:tcPr>
            <w:tcW w:w="2977" w:type="dxa"/>
          </w:tcPr>
          <w:p w:rsidR="009D19DD" w:rsidRDefault="00AB643E">
            <w:pPr>
              <w:pStyle w:val="Kenmerk"/>
            </w:pPr>
            <w:bookmarkStart w:id="7" w:name="bwBehAmbtenaar"/>
            <w:bookmarkEnd w:id="7"/>
            <w:r>
              <w:t>Kim Visser</w:t>
            </w:r>
          </w:p>
        </w:tc>
        <w:tc>
          <w:tcPr>
            <w:tcW w:w="567" w:type="dxa"/>
          </w:tcPr>
          <w:p w:rsidR="009D19DD" w:rsidRDefault="009D19DD">
            <w:pPr>
              <w:pStyle w:val="Kenmerk"/>
            </w:pPr>
          </w:p>
        </w:tc>
        <w:tc>
          <w:tcPr>
            <w:tcW w:w="2126" w:type="dxa"/>
          </w:tcPr>
          <w:p w:rsidR="009D19DD" w:rsidRDefault="00E85E8D">
            <w:pPr>
              <w:pStyle w:val="Kenmerk"/>
            </w:pPr>
            <w:bookmarkStart w:id="8" w:name="bwDatum"/>
            <w:bookmarkStart w:id="9" w:name="blwRefDatum"/>
            <w:bookmarkEnd w:id="8"/>
            <w:r>
              <w:t>26 okto</w:t>
            </w:r>
            <w:r w:rsidR="00AB643E">
              <w:t>ber 2016</w:t>
            </w:r>
            <w:r w:rsidR="009D19DD">
              <w:t xml:space="preserve"> </w:t>
            </w:r>
            <w:bookmarkEnd w:id="9"/>
          </w:p>
        </w:tc>
      </w:tr>
      <w:tr w:rsidR="009D19DD" w:rsidTr="001D04A5">
        <w:trPr>
          <w:trHeight w:hRule="exact" w:val="160"/>
        </w:trPr>
        <w:tc>
          <w:tcPr>
            <w:tcW w:w="2905" w:type="dxa"/>
          </w:tcPr>
          <w:p w:rsidR="009D19DD" w:rsidRDefault="009D19DD">
            <w:pPr>
              <w:pStyle w:val="KenmerkKopje"/>
            </w:pPr>
            <w:r>
              <w:t>Uw kenmerk/schrijven</w:t>
            </w:r>
          </w:p>
        </w:tc>
        <w:tc>
          <w:tcPr>
            <w:tcW w:w="567" w:type="dxa"/>
          </w:tcPr>
          <w:p w:rsidR="009D19DD" w:rsidRDefault="009D19DD">
            <w:pPr>
              <w:pStyle w:val="KenmerkKopje"/>
            </w:pPr>
          </w:p>
        </w:tc>
        <w:tc>
          <w:tcPr>
            <w:tcW w:w="2977" w:type="dxa"/>
          </w:tcPr>
          <w:p w:rsidR="009D19DD" w:rsidRDefault="009D19DD">
            <w:pPr>
              <w:pStyle w:val="KenmerkKopje"/>
            </w:pPr>
            <w:r>
              <w:t>Ons nummer</w:t>
            </w:r>
          </w:p>
        </w:tc>
        <w:tc>
          <w:tcPr>
            <w:tcW w:w="567" w:type="dxa"/>
          </w:tcPr>
          <w:p w:rsidR="009D19DD" w:rsidRDefault="009D19DD">
            <w:pPr>
              <w:pStyle w:val="KenmerkKopje"/>
            </w:pPr>
          </w:p>
        </w:tc>
        <w:tc>
          <w:tcPr>
            <w:tcW w:w="2126" w:type="dxa"/>
          </w:tcPr>
          <w:p w:rsidR="009D19DD" w:rsidRDefault="009D19DD">
            <w:pPr>
              <w:pStyle w:val="KenmerkKopje"/>
            </w:pPr>
            <w:r>
              <w:t>Verzenddatum</w:t>
            </w:r>
          </w:p>
        </w:tc>
      </w:tr>
      <w:tr w:rsidR="009D19DD" w:rsidTr="001D04A5">
        <w:trPr>
          <w:trHeight w:val="240"/>
        </w:trPr>
        <w:tc>
          <w:tcPr>
            <w:tcW w:w="2905" w:type="dxa"/>
          </w:tcPr>
          <w:p w:rsidR="009D19DD" w:rsidRDefault="009D19DD">
            <w:pPr>
              <w:pStyle w:val="Kenmerk"/>
            </w:pPr>
            <w:bookmarkStart w:id="10" w:name="bwUwkenmerk"/>
            <w:bookmarkEnd w:id="10"/>
          </w:p>
        </w:tc>
        <w:tc>
          <w:tcPr>
            <w:tcW w:w="567" w:type="dxa"/>
          </w:tcPr>
          <w:p w:rsidR="009D19DD" w:rsidRDefault="009D19DD">
            <w:pPr>
              <w:pStyle w:val="Kenmerk"/>
            </w:pPr>
          </w:p>
        </w:tc>
        <w:tc>
          <w:tcPr>
            <w:tcW w:w="2977" w:type="dxa"/>
          </w:tcPr>
          <w:p w:rsidR="009D19DD" w:rsidRDefault="009D19DD">
            <w:pPr>
              <w:pStyle w:val="Kenmerk"/>
            </w:pPr>
            <w:bookmarkStart w:id="11" w:name="bwOnsnummer"/>
            <w:bookmarkEnd w:id="11"/>
          </w:p>
        </w:tc>
        <w:tc>
          <w:tcPr>
            <w:tcW w:w="567" w:type="dxa"/>
          </w:tcPr>
          <w:p w:rsidR="009D19DD" w:rsidRDefault="009D19DD">
            <w:pPr>
              <w:pStyle w:val="Kenmerk"/>
            </w:pPr>
          </w:p>
        </w:tc>
        <w:tc>
          <w:tcPr>
            <w:tcW w:w="2126" w:type="dxa"/>
          </w:tcPr>
          <w:p w:rsidR="009D19DD" w:rsidRDefault="009D19DD">
            <w:pPr>
              <w:pStyle w:val="Kenmerk"/>
            </w:pPr>
            <w:bookmarkStart w:id="12" w:name="bwVerzenddatum"/>
            <w:bookmarkEnd w:id="12"/>
          </w:p>
        </w:tc>
      </w:tr>
      <w:tr w:rsidR="009D19DD" w:rsidTr="001D04A5">
        <w:trPr>
          <w:trHeight w:hRule="exact" w:val="360"/>
        </w:trPr>
        <w:tc>
          <w:tcPr>
            <w:tcW w:w="2905" w:type="dxa"/>
          </w:tcPr>
          <w:p w:rsidR="009D19DD" w:rsidRDefault="009D19DD">
            <w:pPr>
              <w:pStyle w:val="Kenmerk"/>
            </w:pPr>
          </w:p>
        </w:tc>
        <w:tc>
          <w:tcPr>
            <w:tcW w:w="567" w:type="dxa"/>
          </w:tcPr>
          <w:p w:rsidR="009D19DD" w:rsidRDefault="009D19DD">
            <w:pPr>
              <w:pStyle w:val="Kenmerk"/>
            </w:pPr>
          </w:p>
        </w:tc>
        <w:tc>
          <w:tcPr>
            <w:tcW w:w="2977" w:type="dxa"/>
          </w:tcPr>
          <w:p w:rsidR="009D19DD" w:rsidRDefault="009D19DD">
            <w:pPr>
              <w:pStyle w:val="Kenmerk"/>
            </w:pPr>
          </w:p>
        </w:tc>
        <w:tc>
          <w:tcPr>
            <w:tcW w:w="567" w:type="dxa"/>
          </w:tcPr>
          <w:p w:rsidR="009D19DD" w:rsidRDefault="009D19DD">
            <w:pPr>
              <w:pStyle w:val="Kenmerk"/>
            </w:pPr>
          </w:p>
        </w:tc>
        <w:tc>
          <w:tcPr>
            <w:tcW w:w="2126" w:type="dxa"/>
          </w:tcPr>
          <w:p w:rsidR="009D19DD" w:rsidRDefault="009D19DD">
            <w:pPr>
              <w:pStyle w:val="Kenmerk"/>
            </w:pPr>
          </w:p>
        </w:tc>
      </w:tr>
    </w:tbl>
    <w:p w:rsidR="009D19DD" w:rsidRDefault="00AB643E">
      <w:bookmarkStart w:id="13" w:name="bwAanhef"/>
      <w:bookmarkEnd w:id="13"/>
      <w:r>
        <w:t xml:space="preserve">Geachte </w:t>
      </w:r>
      <w:r w:rsidR="00BD580E">
        <w:t>leden van het Algemeen Bestuur</w:t>
      </w:r>
      <w:r w:rsidR="009D19DD">
        <w:t>,</w:t>
      </w:r>
    </w:p>
    <w:p w:rsidR="009D19DD" w:rsidRDefault="009D19DD"/>
    <w:p w:rsidR="007D2582" w:rsidRDefault="007D2582" w:rsidP="00A62C90">
      <w:pPr>
        <w:rPr>
          <w:b/>
        </w:rPr>
      </w:pPr>
      <w:bookmarkStart w:id="14" w:name="bwBeginBrief"/>
      <w:bookmarkEnd w:id="14"/>
      <w:r>
        <w:rPr>
          <w:b/>
        </w:rPr>
        <w:t>Aanleiding</w:t>
      </w:r>
    </w:p>
    <w:p w:rsidR="007C6CD4" w:rsidRDefault="007D2582" w:rsidP="007D2582">
      <w:r>
        <w:t xml:space="preserve">Per brief van 14 juli 2016 heeft u de colleges in Zuid-Holland Zuid gevraagd een besluit te nemen over de continuering van de taken die in het kader van de Jeugdwet zijn gedelegeerd en gemandateerd aan de Gemeenschappelijke Regeling Dienst Gezondheid en Jeugd. Het college van de gemeente Zwijndrecht heeft hierop positief gereageerd. </w:t>
      </w:r>
    </w:p>
    <w:p w:rsidR="007D2582" w:rsidRDefault="007D2582" w:rsidP="007D2582">
      <w:pPr>
        <w:rPr>
          <w:i/>
        </w:rPr>
      </w:pPr>
      <w:r>
        <w:t>Op basis van de collegebesluiten van de 17 gemeenten neemt u als Algemeen Bestuur een definitief besluit.</w:t>
      </w:r>
      <w:r w:rsidR="007C6CD4">
        <w:t xml:space="preserve"> Het college heeft ons conform uw verzoek gevraagd een zienswijze uit te brengen over uw voorgenomen besluit deze taken bij die belegd zijn bij de Gemeenschappelijke Regeling te continueren. In deze brief zetten we uiteen hoe wij tegen dit voorgenomen besluit aankijken en welke aandachtspunten en verbeterpunten we vanuit Zwijndrecht willen meegeven. </w:t>
      </w:r>
    </w:p>
    <w:p w:rsidR="007D2582" w:rsidRDefault="007D2582" w:rsidP="007D2582"/>
    <w:p w:rsidR="00A62C90" w:rsidRPr="00A62C90" w:rsidRDefault="007C6CD4" w:rsidP="00A62C90">
      <w:pPr>
        <w:rPr>
          <w:b/>
        </w:rPr>
      </w:pPr>
      <w:r>
        <w:rPr>
          <w:b/>
        </w:rPr>
        <w:t>Continuering van gedelegeerde en gemandateerde taken</w:t>
      </w:r>
    </w:p>
    <w:p w:rsidR="00BD580E" w:rsidRDefault="00A62C90" w:rsidP="00A62C90">
      <w:r>
        <w:t xml:space="preserve">Op 20 september </w:t>
      </w:r>
      <w:r w:rsidR="00BD580E">
        <w:t xml:space="preserve">hebben we als gemeenteraad </w:t>
      </w:r>
      <w:r>
        <w:t>de uitkomsten van de evaluatie Serviceorganisatie Jeugd ZHZ en de Formule Jeugdteams besproken</w:t>
      </w:r>
      <w:r w:rsidR="00BD580E">
        <w:t xml:space="preserve"> in</w:t>
      </w:r>
      <w:r>
        <w:t xml:space="preserve"> een oriëntatieavond. Tijdens deze avond </w:t>
      </w:r>
      <w:r w:rsidR="00BD580E">
        <w:t xml:space="preserve">hebben we </w:t>
      </w:r>
      <w:r>
        <w:t xml:space="preserve">gesproken met </w:t>
      </w:r>
      <w:r w:rsidR="00BD580E">
        <w:t>professionals</w:t>
      </w:r>
      <w:r>
        <w:t xml:space="preserve"> van de Serviceorganisatie en van de Stichting Jeugdteams (en het lokale jeugdteam) over de werking van het jeugdhulp stelsel in praktijk. </w:t>
      </w:r>
    </w:p>
    <w:p w:rsidR="00BD580E" w:rsidRDefault="00BD580E" w:rsidP="00A62C90"/>
    <w:p w:rsidR="002E10D1" w:rsidRDefault="00A62C90" w:rsidP="00A62C90">
      <w:r>
        <w:t xml:space="preserve">Op grond van deze bijeenkomst en </w:t>
      </w:r>
      <w:r w:rsidR="00BD580E">
        <w:t xml:space="preserve">na lezing van </w:t>
      </w:r>
      <w:r>
        <w:t>het rapport van Seinstra en van de Laar</w:t>
      </w:r>
      <w:r w:rsidR="002E10D1">
        <w:t xml:space="preserve"> kunnen we het besluit om </w:t>
      </w:r>
      <w:r>
        <w:t>"de uitvoering van de gedelegeerde en gemandateerde taken in het kader van de Jeugdwet aan de Gemeenschappelijke Regeling Dienst Gezondheid en Jeugd vanaf 01-01-2018 te continueren"</w:t>
      </w:r>
      <w:r w:rsidR="002E10D1">
        <w:t xml:space="preserve"> van harte onderschrijven. We zijn het eens met de conclusie dat: </w:t>
      </w:r>
    </w:p>
    <w:p w:rsidR="002E10D1" w:rsidRDefault="002E10D1" w:rsidP="00A62C90"/>
    <w:p w:rsidR="002E10D1" w:rsidRPr="007F4629" w:rsidRDefault="002E10D1" w:rsidP="002E10D1">
      <w:pPr>
        <w:pStyle w:val="Lijstalinea"/>
        <w:numPr>
          <w:ilvl w:val="0"/>
          <w:numId w:val="2"/>
        </w:numPr>
        <w:spacing w:line="260" w:lineRule="atLeast"/>
      </w:pPr>
      <w:r w:rsidRPr="007F4629">
        <w:lastRenderedPageBreak/>
        <w:t>de Serviceorganisatie Jeugd ZHZ goed functioneert en dat verbetering op een aantal punten gewenst is;</w:t>
      </w:r>
    </w:p>
    <w:p w:rsidR="002E10D1" w:rsidRPr="007F4629" w:rsidRDefault="002E10D1" w:rsidP="002E10D1">
      <w:pPr>
        <w:pStyle w:val="Lijstalinea"/>
        <w:numPr>
          <w:ilvl w:val="0"/>
          <w:numId w:val="2"/>
        </w:numPr>
        <w:spacing w:line="260" w:lineRule="atLeast"/>
      </w:pPr>
      <w:r w:rsidRPr="007F4629">
        <w:t>de uitvoering door de jeugdteams op hoofdlijnen goed verloopt. Maar dat doorontwikkeling nodig is.</w:t>
      </w:r>
    </w:p>
    <w:p w:rsidR="002E10D1" w:rsidRDefault="002E10D1" w:rsidP="00A62C90"/>
    <w:p w:rsidR="007F4629" w:rsidRPr="007F4629" w:rsidRDefault="004A66B6" w:rsidP="004A66B6">
      <w:r>
        <w:t>W</w:t>
      </w:r>
      <w:r w:rsidR="007F4629" w:rsidRPr="007F4629">
        <w:t xml:space="preserve">e </w:t>
      </w:r>
      <w:r>
        <w:t xml:space="preserve">gaan er van uit dat </w:t>
      </w:r>
      <w:r w:rsidR="007F4629" w:rsidRPr="007F4629">
        <w:t>de verschillende onderdelen van de Gemeenschappelijke Regeling Dienst Gezondheid en Jeugd ook in de</w:t>
      </w:r>
      <w:r>
        <w:t xml:space="preserve"> toekomst gescheiden </w:t>
      </w:r>
      <w:r w:rsidR="007F4629" w:rsidRPr="007F4629">
        <w:t xml:space="preserve">blijven waarin de Serviceorganisatie zijn zelfstandige positie en eigen directeur behoudt en de Stichting Jeugdteams los van de regeling blijft functioneren. </w:t>
      </w:r>
    </w:p>
    <w:p w:rsidR="007F4629" w:rsidRDefault="007F4629" w:rsidP="00A62C90"/>
    <w:p w:rsidR="00A62C90" w:rsidRDefault="002E10D1" w:rsidP="00A62C90">
      <w:r>
        <w:t>We begrijpen dat we pas 1,5 jaar onderweg zijn met het huidige stelsel en dat 2015 in het teken stond van zo goed mogelijke overname van taken (transitie) en het bieden van continuïteit van zorg. We waarderen de hoeveel</w:t>
      </w:r>
      <w:r w:rsidR="007D2582">
        <w:t xml:space="preserve">heid werk die is verzet en </w:t>
      </w:r>
      <w:r>
        <w:t>de wijze waarop d</w:t>
      </w:r>
      <w:r w:rsidR="007F4629">
        <w:t xml:space="preserve">eze nieuwe taken zijn opgepakt. </w:t>
      </w:r>
      <w:r w:rsidR="007D2582">
        <w:t>We herkennen ons in de verbeterpunten uit het rapport en</w:t>
      </w:r>
      <w:r w:rsidR="007F4629">
        <w:t xml:space="preserve"> horen graag van u terug op we</w:t>
      </w:r>
      <w:r w:rsidR="007F4B27">
        <w:t>lke wijze de Serviceorganisatie en de Stichting Jeugdteams met deze verbeterpunten aan de slag gaat.</w:t>
      </w:r>
      <w:r w:rsidR="007D2582">
        <w:t xml:space="preserve"> </w:t>
      </w:r>
      <w:r w:rsidR="007F4B27">
        <w:t xml:space="preserve">We </w:t>
      </w:r>
      <w:r w:rsidR="007D2582">
        <w:t xml:space="preserve">geven u </w:t>
      </w:r>
      <w:r w:rsidR="007C6CD4">
        <w:t xml:space="preserve">hieronder </w:t>
      </w:r>
      <w:r>
        <w:t>een aantal specifieke aandachtspunten en verbeterpunten vanuit Zwijndrecht mee.</w:t>
      </w:r>
      <w:r w:rsidR="007F4629">
        <w:t xml:space="preserve"> </w:t>
      </w:r>
    </w:p>
    <w:p w:rsidR="00BD580E" w:rsidRDefault="00BD580E"/>
    <w:p w:rsidR="00A62C90" w:rsidRDefault="00A62C90">
      <w:pPr>
        <w:rPr>
          <w:b/>
        </w:rPr>
      </w:pPr>
      <w:r>
        <w:rPr>
          <w:b/>
        </w:rPr>
        <w:t>Aandachtspunten vanuit Zwijndrecht</w:t>
      </w:r>
    </w:p>
    <w:p w:rsidR="00A62C90" w:rsidRDefault="00A62C90">
      <w:pPr>
        <w:rPr>
          <w:b/>
        </w:rPr>
      </w:pPr>
    </w:p>
    <w:p w:rsidR="00A62C90" w:rsidRDefault="00A62C90" w:rsidP="00A62C90">
      <w:pPr>
        <w:pStyle w:val="Lijstalinea"/>
        <w:numPr>
          <w:ilvl w:val="0"/>
          <w:numId w:val="1"/>
        </w:numPr>
        <w:rPr>
          <w:u w:val="single"/>
        </w:rPr>
      </w:pPr>
      <w:r>
        <w:rPr>
          <w:u w:val="single"/>
        </w:rPr>
        <w:t>Blijvend aandacht voor vernieuwing (transformatie)</w:t>
      </w:r>
    </w:p>
    <w:p w:rsidR="007F4629" w:rsidRPr="007F4629" w:rsidRDefault="007F4B27" w:rsidP="007F4629">
      <w:r>
        <w:t>We vinden het van belang dat in deze fase van vernieuwing transformatie plaatsvindt van zorgverlening naar preventie.</w:t>
      </w:r>
      <w:r w:rsidR="005D263E">
        <w:t xml:space="preserve"> Wij zullen lokaal sturen op versterking van ons preventieve veld en de aansluiting met zorg. We verwachten van het Algemeen Bestuur dat zij regie voert op vernieuwing en dat de Serviceorganisatie en de Stichting Jeugdteams hier bij respectievelijk de inkoop en de uitvoering van jeugdhulp blijvend aandacht voor hebben. Graag zien we dat gemonitord wordt hoe dit proces van vernieuwing verloopt en dat wij hier als gemeenteraad over worden geïnformeerd. </w:t>
      </w:r>
      <w:r>
        <w:t xml:space="preserve"> </w:t>
      </w:r>
    </w:p>
    <w:p w:rsidR="007F4629" w:rsidRDefault="007F4629" w:rsidP="007F4629">
      <w:pPr>
        <w:rPr>
          <w:u w:val="single"/>
        </w:rPr>
      </w:pPr>
    </w:p>
    <w:p w:rsidR="00A62C90" w:rsidRDefault="00A62C90" w:rsidP="00A62C90">
      <w:pPr>
        <w:pStyle w:val="Lijstalinea"/>
        <w:numPr>
          <w:ilvl w:val="0"/>
          <w:numId w:val="1"/>
        </w:numPr>
        <w:rPr>
          <w:u w:val="single"/>
        </w:rPr>
      </w:pPr>
      <w:r>
        <w:rPr>
          <w:u w:val="single"/>
        </w:rPr>
        <w:t>Aandacht voor flexibiliteit in zorgaanbod en budget</w:t>
      </w:r>
    </w:p>
    <w:p w:rsidR="005D263E" w:rsidRPr="005D263E" w:rsidRDefault="005D263E" w:rsidP="005D263E">
      <w:r>
        <w:t xml:space="preserve">In uw brief van 28-9-2016 over wachtlijsten hebben we kunnen lezen dat bij de contractering van aanbieders van jeugdhulp ruimte wordt geven in te spelen op de actuele zorgvraag en dat betekent dat aanbieders kunnen variëren binnen de afgesproken budgetten. We vinden flexibiliteit in het zorgaanbod erg belangrijk en vragen u dan ook waar mogelijk nog meer flexibiliteit mogelijk te maken zodat rekening kan worden gehouden met veranderingen in doelgroepen. We vinden het belangrijk dat daardoor ruimte ontstaat tijdelijk extra personeel in te zetten of dat zorgaanbieders een aanvraag kunnen doen om specifieke doelgroepen zorg te kunnen verlenen. </w:t>
      </w:r>
    </w:p>
    <w:p w:rsidR="005D263E" w:rsidRPr="005D263E" w:rsidRDefault="005D263E" w:rsidP="005D263E">
      <w:pPr>
        <w:rPr>
          <w:u w:val="single"/>
        </w:rPr>
      </w:pPr>
    </w:p>
    <w:p w:rsidR="007F4629" w:rsidRDefault="007F4629" w:rsidP="00A62C90">
      <w:pPr>
        <w:pStyle w:val="Lijstalinea"/>
        <w:numPr>
          <w:ilvl w:val="0"/>
          <w:numId w:val="1"/>
        </w:numPr>
        <w:rPr>
          <w:u w:val="single"/>
        </w:rPr>
      </w:pPr>
      <w:r>
        <w:rPr>
          <w:u w:val="single"/>
        </w:rPr>
        <w:t>Aandacht voor de overgang van 18- naar 18+</w:t>
      </w:r>
    </w:p>
    <w:p w:rsidR="00772AF7" w:rsidRDefault="00772AF7" w:rsidP="00772AF7">
      <w:r>
        <w:t xml:space="preserve">Er is zowel landelijk als regionaal en lokaal aandacht voor de overgang van inwoners die zorg ontvangen van 18- naar 18+. Via deze weg vragen we hiervoor blijvend aandacht te hebben en bij te dragen aan continuering ofwel soepele overgang naar volwassenzorg. Ook </w:t>
      </w:r>
      <w:r>
        <w:lastRenderedPageBreak/>
        <w:t xml:space="preserve">lokaal hebben we hiervoor aandacht door te sturen op goede samenwerking tussen Centrum voor Jeugd en Gezin, Jeugdteam en VIVERA wijkteam. </w:t>
      </w:r>
    </w:p>
    <w:p w:rsidR="00772AF7" w:rsidRPr="00772AF7" w:rsidRDefault="00772AF7" w:rsidP="00772AF7"/>
    <w:p w:rsidR="00A62C90" w:rsidRDefault="00A62C90" w:rsidP="00A62C90">
      <w:pPr>
        <w:pStyle w:val="Lijstalinea"/>
        <w:numPr>
          <w:ilvl w:val="0"/>
          <w:numId w:val="1"/>
        </w:numPr>
        <w:rPr>
          <w:u w:val="single"/>
        </w:rPr>
      </w:pPr>
      <w:r>
        <w:rPr>
          <w:u w:val="single"/>
        </w:rPr>
        <w:t>Samenhang met preventieve veld en samenwerking verenigingen</w:t>
      </w:r>
    </w:p>
    <w:p w:rsidR="00772AF7" w:rsidRPr="00772AF7" w:rsidRDefault="00056ADE" w:rsidP="00772AF7">
      <w:r>
        <w:t xml:space="preserve">In Zwijndrecht werken we aan versteviging en samenhang van het preventieve veld. Tijdens de gesprekken met professionals op 20 september werd al duidelijk dat samenwerking wordt gezocht met onderwijs, kinderopvang en verenigingsleven. Ook wordt gewerkt aan de samenhang en samenwerking tussen centrum voor jeugd en gezin, jeugdteam en VIVERA wijkteams. We vinden het van belang dat de Stichting Jeugdteams ZHZ en de jeugdhulpaanbieders goed aansluiten bij het lokale preventieve veld en dat kan worden ingespeeld op de behoeften van Zwijndrechtse inwoners. Hierop moet in het driehoeksoverleg tussen gemeente, Serviceorganisatie en Stichting Jeugdteams worden gestuurd. </w:t>
      </w:r>
      <w:r w:rsidR="00340C72">
        <w:t>Maar daarnaast vragen we aandacht voor de samenwerking met het VIVERA wijkteam in Zwijndrecht. Ook vragen we</w:t>
      </w:r>
      <w:r>
        <w:t xml:space="preserve"> extra aandacht voor de samenwerking met </w:t>
      </w:r>
      <w:r w:rsidR="005D7950">
        <w:t xml:space="preserve">en training van </w:t>
      </w:r>
      <w:r>
        <w:t xml:space="preserve">vrijwilligers in het verenigingsleven </w:t>
      </w:r>
      <w:r w:rsidR="005D7950">
        <w:t xml:space="preserve">van Zwijndrecht </w:t>
      </w:r>
      <w:r>
        <w:t>zodat zij een signalerende functie kunnen vervullen binnen hun vereniging.</w:t>
      </w:r>
      <w:r w:rsidR="005D7950">
        <w:t xml:space="preserve"> Een goed lokaal voorbeeld vinden we de trainingen die worden gegeven aan vrijwilligers ten aanzien van de meldcode kindermishandeling vanuit het Centrum voor Jeugd en Gezin. De lijntjes tussen vrijwilligers en het CJG en Jeugdteam worden daarmee kort. </w:t>
      </w:r>
      <w:r>
        <w:t xml:space="preserve"> </w:t>
      </w:r>
    </w:p>
    <w:p w:rsidR="00772AF7" w:rsidRPr="00772AF7" w:rsidRDefault="00772AF7" w:rsidP="00772AF7">
      <w:pPr>
        <w:rPr>
          <w:u w:val="single"/>
        </w:rPr>
      </w:pPr>
    </w:p>
    <w:p w:rsidR="00A62C90" w:rsidRDefault="00A62C90" w:rsidP="00A62C90">
      <w:pPr>
        <w:pStyle w:val="Lijstalinea"/>
        <w:numPr>
          <w:ilvl w:val="0"/>
          <w:numId w:val="1"/>
        </w:numPr>
        <w:rPr>
          <w:u w:val="single"/>
        </w:rPr>
      </w:pPr>
      <w:r>
        <w:rPr>
          <w:u w:val="single"/>
        </w:rPr>
        <w:t>Inzet ter preventie van uithuisplaatsingen</w:t>
      </w:r>
    </w:p>
    <w:p w:rsidR="00056ADE" w:rsidRDefault="00056ADE" w:rsidP="00056ADE">
      <w:r>
        <w:t xml:space="preserve">Het is onze wens dat uithuisplaatsingen van kinderen zo veel mogelijk wordt voorkomen. We vragen hiervoor dan ook extra aandacht van de Stichting Jeugdteams. </w:t>
      </w:r>
    </w:p>
    <w:p w:rsidR="00BE1FB4" w:rsidRDefault="00BE1FB4" w:rsidP="00056ADE"/>
    <w:p w:rsidR="00BE1FB4" w:rsidRPr="00BE1FB4" w:rsidRDefault="00BE1FB4" w:rsidP="00BE1FB4">
      <w:pPr>
        <w:pStyle w:val="Lijstalinea"/>
        <w:numPr>
          <w:ilvl w:val="0"/>
          <w:numId w:val="1"/>
        </w:numPr>
      </w:pPr>
      <w:r>
        <w:rPr>
          <w:u w:val="single"/>
        </w:rPr>
        <w:t>Actieve rol bij het voorkomen en aanpakken van wachtlijsten</w:t>
      </w:r>
    </w:p>
    <w:p w:rsidR="00BE1FB4" w:rsidRDefault="00BB0B79" w:rsidP="00BE1FB4">
      <w:r>
        <w:t xml:space="preserve">De wachtlijsten bij jeugdhulpaanbieders zijn veel in het nieuws geweest ook wij hebben hierover een aantal vragen gesteld. Ten aanzien van de wachtlijsten </w:t>
      </w:r>
      <w:r w:rsidR="00BE1FB4">
        <w:t xml:space="preserve">verwachten </w:t>
      </w:r>
      <w:r>
        <w:t xml:space="preserve">we </w:t>
      </w:r>
      <w:r w:rsidR="00BE1FB4">
        <w:t xml:space="preserve">van de Serviceorganisatie: </w:t>
      </w:r>
    </w:p>
    <w:p w:rsidR="00BB0B79" w:rsidRDefault="00BB0B79" w:rsidP="00BE1FB4">
      <w:pPr>
        <w:pStyle w:val="Lijstalinea"/>
        <w:numPr>
          <w:ilvl w:val="0"/>
          <w:numId w:val="3"/>
        </w:numPr>
      </w:pPr>
      <w:r>
        <w:t>dat ze een stevige s</w:t>
      </w:r>
      <w:r w:rsidR="00BE1FB4">
        <w:t xml:space="preserve">ignalerende rol </w:t>
      </w:r>
      <w:r>
        <w:t>vervult;</w:t>
      </w:r>
    </w:p>
    <w:p w:rsidR="00BE1FB4" w:rsidRDefault="00BB0B79" w:rsidP="00BE1FB4">
      <w:pPr>
        <w:pStyle w:val="Lijstalinea"/>
        <w:numPr>
          <w:ilvl w:val="0"/>
          <w:numId w:val="3"/>
        </w:numPr>
      </w:pPr>
      <w:r>
        <w:t>e</w:t>
      </w:r>
      <w:r w:rsidR="00BE1FB4">
        <w:t xml:space="preserve">en proactieve rol samen met de jeugdhulp aanbieders bij de bestrijding </w:t>
      </w:r>
      <w:r>
        <w:t>hiervan;</w:t>
      </w:r>
    </w:p>
    <w:p w:rsidR="00BE1FB4" w:rsidRDefault="00BE1FB4" w:rsidP="00BE1FB4">
      <w:pPr>
        <w:pStyle w:val="Lijstalinea"/>
        <w:numPr>
          <w:ilvl w:val="0"/>
          <w:numId w:val="3"/>
        </w:numPr>
      </w:pPr>
      <w:r>
        <w:t xml:space="preserve">dat zij toeziet op goede informatievoorziening richting ouders wanneer er sprake is van een cliëntenstop en/of wachtlijst bij een aanbieder; </w:t>
      </w:r>
    </w:p>
    <w:p w:rsidR="00BE1FB4" w:rsidRPr="00056ADE" w:rsidRDefault="00BE1FB4" w:rsidP="00BE1FB4">
      <w:pPr>
        <w:pStyle w:val="Lijstalinea"/>
        <w:numPr>
          <w:ilvl w:val="0"/>
          <w:numId w:val="3"/>
        </w:numPr>
      </w:pPr>
      <w:r>
        <w:t>goede informatievoorziening richting colleges en raden</w:t>
      </w:r>
      <w:r w:rsidR="00BB0B79">
        <w:t>.</w:t>
      </w:r>
    </w:p>
    <w:p w:rsidR="00056ADE" w:rsidRPr="00056ADE" w:rsidRDefault="00056ADE" w:rsidP="00056ADE">
      <w:pPr>
        <w:rPr>
          <w:u w:val="single"/>
        </w:rPr>
      </w:pPr>
    </w:p>
    <w:p w:rsidR="00A62C90" w:rsidRDefault="00A62C90" w:rsidP="00A62C90">
      <w:pPr>
        <w:pStyle w:val="Lijstalinea"/>
        <w:numPr>
          <w:ilvl w:val="0"/>
          <w:numId w:val="1"/>
        </w:numPr>
        <w:rPr>
          <w:u w:val="single"/>
        </w:rPr>
      </w:pPr>
      <w:r>
        <w:rPr>
          <w:u w:val="single"/>
        </w:rPr>
        <w:t>Actie bij overschrijding WNT- norm</w:t>
      </w:r>
    </w:p>
    <w:p w:rsidR="00772AF7" w:rsidRPr="00772AF7" w:rsidRDefault="00772AF7" w:rsidP="00772AF7">
      <w:r>
        <w:t xml:space="preserve">We hebben als gemeenteraad eerder aangegeven dat wij geen zaken willen doen met zorgaanbieders waarvan de directeur/ bestuurder meer verdient dan toegestaan op grond van de Wet Normering Topinkomens. We begrijpen dat de Serviceorganisatie dit heeft opgenomen in de inkoopvoorwaarden en dat hierop wordt gemonitord, maar dat er niet op wordt gehandhaafd. We verzoeken de Serviceorganisatie </w:t>
      </w:r>
      <w:r w:rsidR="00056ADE">
        <w:t xml:space="preserve">nogmaals geen zaken meer te doen met deze aanbieders, </w:t>
      </w:r>
      <w:r>
        <w:t xml:space="preserve">in kaart te brengen wat </w:t>
      </w:r>
      <w:r w:rsidR="00056ADE">
        <w:t xml:space="preserve">hiervan </w:t>
      </w:r>
      <w:r>
        <w:t>de consequenties</w:t>
      </w:r>
      <w:r w:rsidR="00056ADE">
        <w:t xml:space="preserve"> zijn en aan te geven hoe zij hier in de toekomst verder op handhaaft. </w:t>
      </w:r>
      <w:r>
        <w:t xml:space="preserve"> </w:t>
      </w:r>
    </w:p>
    <w:p w:rsidR="005D7950" w:rsidRDefault="005D7950" w:rsidP="005D7950">
      <w:pPr>
        <w:rPr>
          <w:u w:val="single"/>
        </w:rPr>
      </w:pPr>
    </w:p>
    <w:p w:rsidR="005D7950" w:rsidRDefault="005D7950" w:rsidP="005D7950">
      <w:pPr>
        <w:pStyle w:val="Lijstalinea"/>
        <w:numPr>
          <w:ilvl w:val="0"/>
          <w:numId w:val="1"/>
        </w:numPr>
        <w:rPr>
          <w:u w:val="single"/>
        </w:rPr>
      </w:pPr>
      <w:r>
        <w:rPr>
          <w:u w:val="single"/>
        </w:rPr>
        <w:lastRenderedPageBreak/>
        <w:t>Evaluatiemomenten</w:t>
      </w:r>
    </w:p>
    <w:p w:rsidR="005D7950" w:rsidRDefault="005D7950" w:rsidP="005D7950">
      <w:r>
        <w:t xml:space="preserve">Met een positief besluit van het Algemeen Bestuur over voortzetting van de gemandateerde en gedelegeerde taken wordt de Serviceorganisatie een permanente organisatie. Over de ontwikkelingen in de jeugdhulp worden we via rapportages op de hoogte gehouden. We vinden het echter ook belangrijk dat de werking van het stelsel wordt gemonitord en dat er meerdere evaluatiemomenten worden ingepland. We stellen voor om begin 2018 als het stelsel drie jaar in de lucht is opnieuw te evalueren. Tijdens die evaluatie komen wat ons betreft de werking van het stelsel maar ook de stappen die zijn gezet in het proces van vernieuwing aan bod. </w:t>
      </w:r>
    </w:p>
    <w:p w:rsidR="00327E1D" w:rsidRDefault="00327E1D" w:rsidP="005D7950">
      <w:pPr>
        <w:rPr>
          <w:b/>
        </w:rPr>
      </w:pPr>
    </w:p>
    <w:p w:rsidR="005D7950" w:rsidRDefault="005D7950" w:rsidP="005D7950">
      <w:pPr>
        <w:rPr>
          <w:b/>
        </w:rPr>
      </w:pPr>
      <w:r>
        <w:rPr>
          <w:b/>
        </w:rPr>
        <w:t>Tot slot</w:t>
      </w:r>
    </w:p>
    <w:p w:rsidR="005D7950" w:rsidRPr="005D7950" w:rsidRDefault="00340C72" w:rsidP="005D7950">
      <w:r>
        <w:t xml:space="preserve">We gaan er van uit hiermee de uitgangspunten van de gemeenteraad duidelijk voor het voetlicht te hebben gebracht. We vragen u tot slot om een reactie op onze zienswijze waaruit blijkt op welke wijze u met de verbeterpunten uit de evaluaties en onze aanvullingen daarop aan de slag gaat. Graag zien we de resultaten hiervan terug in een evaluatie medio 2018. </w:t>
      </w:r>
    </w:p>
    <w:p w:rsidR="00A62C90" w:rsidRDefault="00A62C90"/>
    <w:p w:rsidR="009D19DD" w:rsidRDefault="00AB643E">
      <w:pPr>
        <w:pStyle w:val="Afsluiting"/>
        <w:keepNext/>
        <w:keepLines/>
        <w:spacing w:before="480"/>
      </w:pPr>
      <w:bookmarkStart w:id="15" w:name="bwAfsluiting"/>
      <w:bookmarkEnd w:id="15"/>
      <w:r>
        <w:t>Met vriendelijke groet,</w:t>
      </w:r>
    </w:p>
    <w:p w:rsidR="00AB643E" w:rsidRDefault="00AB643E">
      <w:pPr>
        <w:pStyle w:val="Afsluiting2"/>
        <w:keepNext/>
        <w:keepLines/>
      </w:pPr>
      <w:bookmarkStart w:id="16" w:name="bwAfzender"/>
      <w:bookmarkEnd w:id="16"/>
    </w:p>
    <w:p w:rsidR="00AB643E" w:rsidRDefault="00AB643E">
      <w:pPr>
        <w:pStyle w:val="Afsluiting2"/>
        <w:keepNext/>
        <w:keepLines/>
      </w:pPr>
    </w:p>
    <w:p w:rsidR="00AB643E" w:rsidRDefault="00AB643E">
      <w:pPr>
        <w:pStyle w:val="Afsluiting2"/>
        <w:keepNext/>
        <w:keepLines/>
      </w:pPr>
    </w:p>
    <w:p w:rsidR="00AB643E" w:rsidRDefault="00AB643E">
      <w:pPr>
        <w:pStyle w:val="Afsluiting2"/>
        <w:keepNext/>
        <w:keepLines/>
      </w:pPr>
    </w:p>
    <w:p w:rsidR="009D19DD" w:rsidRDefault="00AB643E">
      <w:pPr>
        <w:pStyle w:val="Afsluiting2"/>
        <w:keepNext/>
        <w:keepLines/>
      </w:pPr>
      <w:r>
        <w:t>De griffier</w:t>
      </w:r>
      <w:r w:rsidR="00A62C90">
        <w:tab/>
      </w:r>
      <w:r w:rsidR="00A62C90">
        <w:tab/>
      </w:r>
      <w:r w:rsidR="00A62C90">
        <w:tab/>
      </w:r>
      <w:r w:rsidR="00A62C90">
        <w:tab/>
        <w:t>De voorzitter</w:t>
      </w:r>
    </w:p>
    <w:p w:rsidR="009D19DD" w:rsidRDefault="009D19DD">
      <w:pPr>
        <w:keepNext/>
        <w:keepLines/>
      </w:pPr>
      <w:bookmarkStart w:id="17" w:name="bwzelfinvullen"/>
      <w:bookmarkEnd w:id="17"/>
    </w:p>
    <w:p w:rsidR="009D19DD" w:rsidRDefault="009D19DD">
      <w:pPr>
        <w:keepNext/>
        <w:keepLines/>
      </w:pPr>
    </w:p>
    <w:p w:rsidR="009D19DD" w:rsidRDefault="009D19DD">
      <w:pPr>
        <w:keepNext/>
        <w:keepLines/>
      </w:pPr>
    </w:p>
    <w:p w:rsidR="009D19DD" w:rsidRDefault="009D19DD">
      <w:pPr>
        <w:keepLines/>
        <w:tabs>
          <w:tab w:val="left" w:pos="1242"/>
        </w:tabs>
        <w:ind w:left="1276" w:hanging="1276"/>
      </w:pPr>
      <w:bookmarkStart w:id="18" w:name="blwBijlage"/>
      <w:bookmarkEnd w:id="18"/>
      <w:r>
        <w:tab/>
      </w:r>
    </w:p>
    <w:sectPr w:rsidR="009D19DD">
      <w:headerReference w:type="default" r:id="rId8"/>
      <w:footerReference w:type="default" r:id="rId9"/>
      <w:type w:val="continuous"/>
      <w:pgSz w:w="11906" w:h="16838" w:code="9"/>
      <w:pgMar w:top="3317" w:right="1134" w:bottom="1418" w:left="1758" w:header="1361"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3E" w:rsidRDefault="00AB643E">
      <w:r>
        <w:separator/>
      </w:r>
    </w:p>
  </w:endnote>
  <w:endnote w:type="continuationSeparator" w:id="0">
    <w:p w:rsidR="00AB643E" w:rsidRDefault="00AB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25" w:rsidRDefault="001D04A5">
    <w:pPr>
      <w:pStyle w:val="Voettekst"/>
    </w:pPr>
    <w:r>
      <w:rPr>
        <w:noProof/>
      </w:rPr>
      <w:drawing>
        <wp:anchor distT="0" distB="0" distL="114300" distR="114300" simplePos="0" relativeHeight="251657728" behindDoc="0" locked="1" layoutInCell="0" allowOverlap="1">
          <wp:simplePos x="0" y="0"/>
          <wp:positionH relativeFrom="page">
            <wp:posOffset>5508625</wp:posOffset>
          </wp:positionH>
          <wp:positionV relativeFrom="page">
            <wp:posOffset>10225405</wp:posOffset>
          </wp:positionV>
          <wp:extent cx="1359535" cy="216535"/>
          <wp:effectExtent l="0" t="0" r="0" b="0"/>
          <wp:wrapTopAndBottom/>
          <wp:docPr id="1" name="Afbeelding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216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3E" w:rsidRDefault="00AB643E">
      <w:r>
        <w:separator/>
      </w:r>
    </w:p>
  </w:footnote>
  <w:footnote w:type="continuationSeparator" w:id="0">
    <w:p w:rsidR="00AB643E" w:rsidRDefault="00AB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14"/>
    </w:tblGrid>
    <w:tr w:rsidR="00835D25">
      <w:trPr>
        <w:trHeight w:val="1272"/>
      </w:trPr>
      <w:tc>
        <w:tcPr>
          <w:tcW w:w="2214" w:type="dxa"/>
        </w:tcPr>
        <w:p w:rsidR="00835D25" w:rsidRDefault="00835D25">
          <w:pPr>
            <w:pStyle w:val="Koptekst"/>
            <w:framePr w:wrap="around" w:vAnchor="page" w:hAnchor="page" w:x="8506" w:y="710"/>
          </w:pPr>
        </w:p>
      </w:tc>
    </w:tr>
  </w:tb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84"/>
    </w:tblGrid>
    <w:tr w:rsidR="00835D25">
      <w:trPr>
        <w:trHeight w:val="709"/>
      </w:trPr>
      <w:tc>
        <w:tcPr>
          <w:tcW w:w="2584" w:type="dxa"/>
          <w:tcBorders>
            <w:top w:val="nil"/>
            <w:left w:val="nil"/>
            <w:bottom w:val="nil"/>
            <w:right w:val="nil"/>
          </w:tcBorders>
        </w:tcPr>
        <w:p w:rsidR="00AB643E" w:rsidRDefault="00AB643E">
          <w:pPr>
            <w:pStyle w:val="NAWgegevens"/>
            <w:framePr w:wrap="around" w:hAnchor="page" w:x="8721" w:y="2042" w:anchorLock="1"/>
          </w:pPr>
          <w:bookmarkStart w:id="2" w:name="bwOnderdeel"/>
          <w:bookmarkStart w:id="3" w:name="bwBezoekadres"/>
          <w:bookmarkEnd w:id="2"/>
          <w:bookmarkEnd w:id="3"/>
          <w:r>
            <w:t>Raadhuisplein 3</w:t>
          </w:r>
        </w:p>
        <w:p w:rsidR="00AB643E" w:rsidRDefault="00AB643E">
          <w:pPr>
            <w:pStyle w:val="NAWgegevens"/>
            <w:framePr w:wrap="around" w:hAnchor="page" w:x="8721" w:y="2042" w:anchorLock="1"/>
          </w:pPr>
          <w:r>
            <w:t>3331 BT  Zwijndrecht</w:t>
          </w:r>
        </w:p>
        <w:p w:rsidR="00AB643E" w:rsidRDefault="00AB643E">
          <w:pPr>
            <w:pStyle w:val="NAWgegevens"/>
            <w:framePr w:wrap="around" w:hAnchor="page" w:x="8721" w:y="2042" w:anchorLock="1"/>
          </w:pPr>
          <w:r>
            <w:t>Postbus 15</w:t>
          </w:r>
        </w:p>
        <w:p w:rsidR="00AB643E" w:rsidRDefault="00AB643E">
          <w:pPr>
            <w:pStyle w:val="NAWgegevens"/>
            <w:framePr w:wrap="around" w:hAnchor="page" w:x="8721" w:y="2042" w:anchorLock="1"/>
          </w:pPr>
          <w:r>
            <w:t>3330 AA  Zwijndrecht</w:t>
          </w:r>
        </w:p>
        <w:p w:rsidR="00AB643E" w:rsidRDefault="00AB643E">
          <w:pPr>
            <w:pStyle w:val="NAWgegevens"/>
            <w:framePr w:wrap="around" w:hAnchor="page" w:x="8721" w:y="2042" w:anchorLock="1"/>
          </w:pPr>
          <w:r>
            <w:t>T 14 078 (algemeen)</w:t>
          </w:r>
        </w:p>
        <w:p w:rsidR="00AB643E" w:rsidRDefault="00AB643E">
          <w:pPr>
            <w:pStyle w:val="NAWgegevens"/>
            <w:framePr w:wrap="around" w:hAnchor="page" w:x="8721" w:y="2042" w:anchorLock="1"/>
          </w:pPr>
          <w:r>
            <w:t>F (078) 770 80 80</w:t>
          </w:r>
        </w:p>
        <w:p w:rsidR="00835D25" w:rsidRDefault="00AB643E">
          <w:pPr>
            <w:pStyle w:val="NAWgegevens"/>
            <w:framePr w:wrap="around" w:hAnchor="page" w:x="8721" w:y="2042" w:anchorLock="1"/>
          </w:pPr>
          <w:r>
            <w:t>gemeente@zwijndrecht.nl</w:t>
          </w:r>
        </w:p>
        <w:p w:rsidR="00835D25" w:rsidRDefault="00835D25">
          <w:pPr>
            <w:pStyle w:val="NAWgegevens"/>
            <w:framePr w:wrap="around" w:hAnchor="page" w:x="8721" w:y="2042" w:anchorLock="1"/>
          </w:pPr>
          <w:bookmarkStart w:id="4" w:name="bwCorrespondentieadres"/>
          <w:bookmarkEnd w:id="4"/>
        </w:p>
      </w:tc>
    </w:tr>
  </w:tbl>
  <w:p w:rsidR="00835D25" w:rsidRDefault="00835D2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5"/>
    </w:tblGrid>
    <w:tr w:rsidR="00835D25">
      <w:trPr>
        <w:cantSplit/>
        <w:trHeight w:hRule="exact" w:val="142"/>
      </w:trPr>
      <w:tc>
        <w:tcPr>
          <w:tcW w:w="2085" w:type="dxa"/>
          <w:tcBorders>
            <w:top w:val="nil"/>
            <w:left w:val="nil"/>
            <w:bottom w:val="nil"/>
            <w:right w:val="nil"/>
          </w:tcBorders>
        </w:tcPr>
        <w:p w:rsidR="00835D25" w:rsidRDefault="00835D25">
          <w:pPr>
            <w:pStyle w:val="KenmerkKopje"/>
            <w:framePr w:wrap="around" w:vAnchor="page" w:hAnchor="page" w:x="8721" w:y="1362" w:anchorLock="1"/>
          </w:pPr>
          <w:r>
            <w:t>Datum</w:t>
          </w:r>
        </w:p>
      </w:tc>
    </w:tr>
    <w:tr w:rsidR="00835D25">
      <w:trPr>
        <w:cantSplit/>
        <w:trHeight w:val="284"/>
      </w:trPr>
      <w:tc>
        <w:tcPr>
          <w:tcW w:w="2085" w:type="dxa"/>
          <w:tcBorders>
            <w:top w:val="nil"/>
            <w:left w:val="nil"/>
            <w:bottom w:val="nil"/>
            <w:right w:val="nil"/>
          </w:tcBorders>
        </w:tcPr>
        <w:p w:rsidR="00835D25" w:rsidRDefault="00E85E8D">
          <w:pPr>
            <w:pStyle w:val="Kenmerk"/>
            <w:framePr w:wrap="around" w:vAnchor="page" w:hAnchor="page" w:x="8721" w:y="1362" w:anchorLock="1"/>
          </w:pPr>
          <w:fldSimple w:instr=" REF  blwRefDatum ">
            <w:r w:rsidR="00AB643E">
              <w:t xml:space="preserve"> </w:t>
            </w:r>
          </w:fldSimple>
        </w:p>
      </w:tc>
    </w:tr>
    <w:tr w:rsidR="00835D25">
      <w:trPr>
        <w:cantSplit/>
        <w:trHeight w:hRule="exact" w:val="142"/>
      </w:trPr>
      <w:tc>
        <w:tcPr>
          <w:tcW w:w="2085" w:type="dxa"/>
          <w:tcBorders>
            <w:top w:val="nil"/>
            <w:left w:val="nil"/>
            <w:bottom w:val="nil"/>
            <w:right w:val="nil"/>
          </w:tcBorders>
        </w:tcPr>
        <w:p w:rsidR="00835D25" w:rsidRDefault="00835D25">
          <w:pPr>
            <w:pStyle w:val="KenmerkKopje"/>
            <w:framePr w:wrap="around" w:vAnchor="page" w:hAnchor="page" w:x="8721" w:y="1362" w:anchorLock="1"/>
          </w:pPr>
          <w:r>
            <w:t>Onderwerp</w:t>
          </w:r>
        </w:p>
      </w:tc>
    </w:tr>
    <w:tr w:rsidR="00835D25">
      <w:trPr>
        <w:cantSplit/>
        <w:trHeight w:val="284"/>
      </w:trPr>
      <w:tc>
        <w:tcPr>
          <w:tcW w:w="2085" w:type="dxa"/>
          <w:tcBorders>
            <w:top w:val="nil"/>
            <w:left w:val="nil"/>
            <w:bottom w:val="nil"/>
            <w:right w:val="nil"/>
          </w:tcBorders>
        </w:tcPr>
        <w:p w:rsidR="00835D25" w:rsidRDefault="00E85E8D">
          <w:pPr>
            <w:pStyle w:val="Kenmerk"/>
            <w:framePr w:wrap="around" w:vAnchor="page" w:hAnchor="page" w:x="8721" w:y="1362" w:anchorLock="1"/>
          </w:pPr>
          <w:fldSimple w:instr=" REF  bwRefOnderwerp ">
            <w:r w:rsidR="00AB643E">
              <w:t xml:space="preserve"> </w:t>
            </w:r>
          </w:fldSimple>
        </w:p>
      </w:tc>
    </w:tr>
    <w:tr w:rsidR="00835D25">
      <w:trPr>
        <w:cantSplit/>
        <w:trHeight w:hRule="exact" w:val="142"/>
      </w:trPr>
      <w:tc>
        <w:tcPr>
          <w:tcW w:w="2085" w:type="dxa"/>
          <w:tcBorders>
            <w:top w:val="nil"/>
            <w:left w:val="nil"/>
            <w:bottom w:val="nil"/>
            <w:right w:val="nil"/>
          </w:tcBorders>
        </w:tcPr>
        <w:p w:rsidR="00835D25" w:rsidRDefault="00835D25">
          <w:pPr>
            <w:pStyle w:val="KenmerkKopje"/>
            <w:framePr w:wrap="around" w:vAnchor="page" w:hAnchor="page" w:x="8721" w:y="1362" w:anchorLock="1"/>
          </w:pPr>
          <w:r>
            <w:t>Pagina</w:t>
          </w:r>
        </w:p>
      </w:tc>
    </w:tr>
    <w:tr w:rsidR="00835D25">
      <w:trPr>
        <w:cantSplit/>
        <w:trHeight w:val="284"/>
      </w:trPr>
      <w:tc>
        <w:tcPr>
          <w:tcW w:w="2085" w:type="dxa"/>
          <w:tcBorders>
            <w:top w:val="nil"/>
            <w:left w:val="nil"/>
            <w:bottom w:val="nil"/>
            <w:right w:val="nil"/>
          </w:tcBorders>
        </w:tcPr>
        <w:p w:rsidR="00835D25" w:rsidRDefault="00835D25">
          <w:pPr>
            <w:pStyle w:val="Kenmerk"/>
            <w:framePr w:wrap="around" w:vAnchor="page" w:hAnchor="page" w:x="8721" w:y="1362" w:anchorLock="1"/>
          </w:pPr>
          <w:r>
            <w:rPr>
              <w:rStyle w:val="Paginanummer"/>
            </w:rPr>
            <w:fldChar w:fldCharType="begin"/>
          </w:r>
          <w:r>
            <w:rPr>
              <w:rStyle w:val="Paginanummer"/>
            </w:rPr>
            <w:instrText xml:space="preserve"> PAGE </w:instrText>
          </w:r>
          <w:r>
            <w:rPr>
              <w:rStyle w:val="Paginanummer"/>
            </w:rPr>
            <w:fldChar w:fldCharType="separate"/>
          </w:r>
          <w:r w:rsidR="007A3D49">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7A3D49">
            <w:rPr>
              <w:rStyle w:val="Paginanummer"/>
              <w:noProof/>
            </w:rPr>
            <w:t>4</w:t>
          </w:r>
          <w:r>
            <w:rPr>
              <w:rStyle w:val="Paginanummer"/>
            </w:rPr>
            <w:fldChar w:fldCharType="end"/>
          </w:r>
        </w:p>
      </w:tc>
    </w:tr>
  </w:tbl>
  <w:p w:rsidR="00835D25" w:rsidRDefault="00835D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252"/>
    <w:multiLevelType w:val="hybridMultilevel"/>
    <w:tmpl w:val="28E09F3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AD140D"/>
    <w:multiLevelType w:val="hybridMultilevel"/>
    <w:tmpl w:val="D21ADB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7AA7ABB"/>
    <w:multiLevelType w:val="hybridMultilevel"/>
    <w:tmpl w:val="504CEF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3E"/>
    <w:rsid w:val="000309BD"/>
    <w:rsid w:val="0005141D"/>
    <w:rsid w:val="00056ADE"/>
    <w:rsid w:val="00071A4E"/>
    <w:rsid w:val="00125A0A"/>
    <w:rsid w:val="00165BF0"/>
    <w:rsid w:val="001D04A5"/>
    <w:rsid w:val="00215CEF"/>
    <w:rsid w:val="00274563"/>
    <w:rsid w:val="002D275D"/>
    <w:rsid w:val="002E10D1"/>
    <w:rsid w:val="00316508"/>
    <w:rsid w:val="00327E1D"/>
    <w:rsid w:val="00340C72"/>
    <w:rsid w:val="004318C1"/>
    <w:rsid w:val="004423EF"/>
    <w:rsid w:val="004A66B6"/>
    <w:rsid w:val="005C3082"/>
    <w:rsid w:val="005D263E"/>
    <w:rsid w:val="005D7950"/>
    <w:rsid w:val="00671AB3"/>
    <w:rsid w:val="006D7EF7"/>
    <w:rsid w:val="006F1251"/>
    <w:rsid w:val="00772AF7"/>
    <w:rsid w:val="007768E4"/>
    <w:rsid w:val="007838B8"/>
    <w:rsid w:val="007A3D49"/>
    <w:rsid w:val="007A6E46"/>
    <w:rsid w:val="007C6CD4"/>
    <w:rsid w:val="007D2582"/>
    <w:rsid w:val="007F4629"/>
    <w:rsid w:val="007F4B27"/>
    <w:rsid w:val="00830538"/>
    <w:rsid w:val="00835D25"/>
    <w:rsid w:val="008A0E9B"/>
    <w:rsid w:val="0092136E"/>
    <w:rsid w:val="0097581A"/>
    <w:rsid w:val="009D19DD"/>
    <w:rsid w:val="00A10A83"/>
    <w:rsid w:val="00A62C90"/>
    <w:rsid w:val="00A64C5C"/>
    <w:rsid w:val="00A70D71"/>
    <w:rsid w:val="00AB643E"/>
    <w:rsid w:val="00AC5104"/>
    <w:rsid w:val="00B11146"/>
    <w:rsid w:val="00B6213E"/>
    <w:rsid w:val="00B806A3"/>
    <w:rsid w:val="00BB0B79"/>
    <w:rsid w:val="00BD580E"/>
    <w:rsid w:val="00BE1FB4"/>
    <w:rsid w:val="00C06406"/>
    <w:rsid w:val="00C11A7E"/>
    <w:rsid w:val="00CA01A6"/>
    <w:rsid w:val="00CE01B9"/>
    <w:rsid w:val="00D3425A"/>
    <w:rsid w:val="00E30D67"/>
    <w:rsid w:val="00E34AB7"/>
    <w:rsid w:val="00E445F5"/>
    <w:rsid w:val="00E64DF0"/>
    <w:rsid w:val="00E85E8D"/>
    <w:rsid w:val="00E978E9"/>
    <w:rsid w:val="00EA3E4E"/>
    <w:rsid w:val="00F33ABE"/>
    <w:rsid w:val="00F4196F"/>
    <w:rsid w:val="00F76BC6"/>
    <w:rsid w:val="00FE0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2CFF802-EE39-477E-9422-25D2362F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9BD"/>
    <w:pPr>
      <w:spacing w:line="280" w:lineRule="atLeast"/>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16508"/>
    <w:pPr>
      <w:tabs>
        <w:tab w:val="center" w:pos="4536"/>
        <w:tab w:val="right" w:pos="9072"/>
      </w:tabs>
    </w:pPr>
    <w:rPr>
      <w:sz w:val="16"/>
    </w:rPr>
  </w:style>
  <w:style w:type="paragraph" w:styleId="Voettekst">
    <w:name w:val="footer"/>
    <w:basedOn w:val="Standaard"/>
    <w:rsid w:val="00316508"/>
    <w:pPr>
      <w:tabs>
        <w:tab w:val="center" w:pos="4536"/>
        <w:tab w:val="right" w:pos="9072"/>
      </w:tabs>
    </w:pPr>
    <w:rPr>
      <w:sz w:val="16"/>
    </w:rPr>
  </w:style>
  <w:style w:type="paragraph" w:customStyle="1" w:styleId="KenmerkKopje">
    <w:name w:val="KenmerkKopje"/>
    <w:basedOn w:val="Standaard"/>
    <w:next w:val="Kenmerk"/>
    <w:pPr>
      <w:spacing w:line="240" w:lineRule="auto"/>
    </w:pPr>
    <w:rPr>
      <w:b/>
      <w:sz w:val="12"/>
    </w:rPr>
  </w:style>
  <w:style w:type="paragraph" w:customStyle="1" w:styleId="Kenmerk">
    <w:name w:val="Kenmerk"/>
    <w:basedOn w:val="Standaard"/>
    <w:pPr>
      <w:spacing w:after="120"/>
    </w:pPr>
    <w:rPr>
      <w:sz w:val="16"/>
    </w:rPr>
  </w:style>
  <w:style w:type="paragraph" w:customStyle="1" w:styleId="Afsluiting2">
    <w:name w:val="Afsluiting2"/>
    <w:basedOn w:val="Standaard"/>
    <w:pPr>
      <w:tabs>
        <w:tab w:val="left" w:pos="3402"/>
      </w:tabs>
    </w:pPr>
    <w:rPr>
      <w:kern w:val="24"/>
    </w:rPr>
  </w:style>
  <w:style w:type="paragraph" w:styleId="Ballontekst">
    <w:name w:val="Balloon Text"/>
    <w:basedOn w:val="Standaard"/>
    <w:semiHidden/>
    <w:rPr>
      <w:rFonts w:ascii="Tahoma" w:hAnsi="Tahoma" w:cs="Tahoma"/>
      <w:sz w:val="16"/>
      <w:szCs w:val="16"/>
    </w:rPr>
  </w:style>
  <w:style w:type="paragraph" w:customStyle="1" w:styleId="NAWgegevens">
    <w:name w:val="NAWgegevens"/>
    <w:basedOn w:val="Koptekst"/>
    <w:pPr>
      <w:framePr w:wrap="around" w:vAnchor="page" w:hAnchor="margin" w:x="7032" w:y="710"/>
      <w:spacing w:line="220" w:lineRule="atLeast"/>
      <w:suppressOverlap/>
    </w:pPr>
    <w:rPr>
      <w:i/>
    </w:rPr>
  </w:style>
  <w:style w:type="character" w:styleId="Paginanummer">
    <w:name w:val="page number"/>
    <w:basedOn w:val="Standaardalinea-lettertype"/>
    <w:rsid w:val="00CA01A6"/>
    <w:rPr>
      <w:rFonts w:ascii="Arial" w:hAnsi="Arial"/>
      <w:sz w:val="16"/>
    </w:rPr>
  </w:style>
  <w:style w:type="paragraph" w:styleId="Afsluiting">
    <w:name w:val="Closing"/>
    <w:basedOn w:val="Standaard"/>
    <w:next w:val="Standaard"/>
    <w:pPr>
      <w:spacing w:before="240"/>
    </w:pPr>
    <w:rPr>
      <w:kern w:val="24"/>
    </w:rPr>
  </w:style>
  <w:style w:type="paragraph" w:styleId="Aanhef">
    <w:name w:val="Salutation"/>
    <w:basedOn w:val="Standaard"/>
    <w:next w:val="Standaard"/>
    <w:pPr>
      <w:spacing w:before="240" w:after="240"/>
    </w:pPr>
    <w:rPr>
      <w:kern w:val="24"/>
    </w:rPr>
  </w:style>
  <w:style w:type="paragraph" w:styleId="Lijstalinea">
    <w:name w:val="List Paragraph"/>
    <w:basedOn w:val="Standaard"/>
    <w:uiPriority w:val="34"/>
    <w:qFormat/>
    <w:rsid w:val="00A6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7291</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Onderwerp</vt:lpstr>
    </vt:vector>
  </TitlesOfParts>
  <Company>Gemeente Zwijndrecht</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Visser, K</dc:creator>
  <cp:keywords/>
  <dc:description/>
  <cp:lastModifiedBy>Conrad-Smit, AJA</cp:lastModifiedBy>
  <cp:revision>2</cp:revision>
  <cp:lastPrinted>2003-11-28T07:15:00Z</cp:lastPrinted>
  <dcterms:created xsi:type="dcterms:W3CDTF">2016-10-31T11:02:00Z</dcterms:created>
  <dcterms:modified xsi:type="dcterms:W3CDTF">2016-10-31T11:02:00Z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meenteAdres">
    <vt:lpwstr>Sector Bouw wonen werken</vt:lpwstr>
  </property>
  <property fmtid="{D5CDD505-2E9C-101B-9397-08002B2CF9AE}" pid="3" name="Emailadres">
    <vt:lpwstr>sector@zwijndrecht.nl</vt:lpwstr>
  </property>
</Properties>
</file>