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DAAB" w14:textId="3C605EB6" w:rsidR="008B70AA" w:rsidRPr="00763C4F" w:rsidRDefault="008B70AA" w:rsidP="008B70AA">
      <w:pPr>
        <w:rPr>
          <w:rFonts w:ascii="Arial" w:hAnsi="Arial" w:cs="Arial"/>
          <w:b/>
          <w:sz w:val="28"/>
          <w:szCs w:val="28"/>
        </w:rPr>
      </w:pPr>
      <w:bookmarkStart w:id="0" w:name="_GoBack"/>
      <w:bookmarkEnd w:id="0"/>
      <w:r w:rsidRPr="00763C4F">
        <w:rPr>
          <w:rFonts w:ascii="Arial" w:hAnsi="Arial" w:cs="Arial"/>
          <w:b/>
          <w:sz w:val="28"/>
          <w:szCs w:val="28"/>
        </w:rPr>
        <w:t xml:space="preserve">Globale analyse </w:t>
      </w:r>
      <w:r>
        <w:rPr>
          <w:rFonts w:ascii="Arial" w:hAnsi="Arial" w:cs="Arial"/>
          <w:b/>
          <w:sz w:val="28"/>
          <w:szCs w:val="28"/>
        </w:rPr>
        <w:t>Alblasserdam</w:t>
      </w:r>
      <w:r w:rsidR="009B71C0">
        <w:rPr>
          <w:rFonts w:ascii="Arial" w:hAnsi="Arial" w:cs="Arial"/>
          <w:b/>
          <w:sz w:val="28"/>
          <w:szCs w:val="28"/>
        </w:rPr>
        <w:t xml:space="preserve"> 2016</w:t>
      </w:r>
    </w:p>
    <w:p w14:paraId="69BE8DE9" w14:textId="77777777" w:rsidR="008B70AA" w:rsidRPr="00560F95" w:rsidRDefault="008B70AA" w:rsidP="008B70AA">
      <w:pPr>
        <w:rPr>
          <w:rFonts w:ascii="Arial" w:hAnsi="Arial" w:cs="Arial"/>
        </w:rPr>
      </w:pPr>
    </w:p>
    <w:p w14:paraId="4E5721E6" w14:textId="6E15A35A" w:rsidR="008B70AA" w:rsidRPr="00560F95" w:rsidRDefault="008B70AA" w:rsidP="008B70AA">
      <w:pPr>
        <w:rPr>
          <w:rFonts w:ascii="Arial" w:hAnsi="Arial" w:cs="Arial"/>
          <w:b/>
        </w:rPr>
      </w:pPr>
      <w:r w:rsidRPr="00560F95">
        <w:rPr>
          <w:rFonts w:ascii="Arial" w:hAnsi="Arial" w:cs="Arial"/>
          <w:b/>
        </w:rPr>
        <w:t>Toelichting</w:t>
      </w:r>
      <w:r>
        <w:rPr>
          <w:rFonts w:ascii="Arial" w:hAnsi="Arial" w:cs="Arial"/>
          <w:b/>
        </w:rPr>
        <w:t xml:space="preserve"> </w:t>
      </w:r>
    </w:p>
    <w:p w14:paraId="7FBC50DD" w14:textId="77777777" w:rsidR="008B70AA" w:rsidRPr="00560F95" w:rsidRDefault="008B70AA" w:rsidP="008B70AA">
      <w:pPr>
        <w:pStyle w:val="Hoofdtekst"/>
        <w:rPr>
          <w:rFonts w:hAnsi="Arial" w:cs="Arial"/>
        </w:rPr>
      </w:pPr>
      <w:r w:rsidRPr="00560F95">
        <w:rPr>
          <w:rFonts w:hAnsi="Arial" w:cs="Arial"/>
        </w:rPr>
        <w:t>In deze brief wordt u</w:t>
      </w:r>
      <w:r>
        <w:rPr>
          <w:rFonts w:hAnsi="Arial" w:cs="Arial"/>
        </w:rPr>
        <w:t xml:space="preserve"> geïnformeerd</w:t>
      </w:r>
      <w:r w:rsidRPr="00560F95">
        <w:rPr>
          <w:rFonts w:hAnsi="Arial" w:cs="Arial"/>
        </w:rPr>
        <w:t xml:space="preserve"> </w:t>
      </w:r>
      <w:r>
        <w:rPr>
          <w:rFonts w:hAnsi="Arial" w:cs="Arial"/>
        </w:rPr>
        <w:t xml:space="preserve">over de ontwikkeling van het klantenbestand Participatiewet in uw gemeente, </w:t>
      </w:r>
      <w:r w:rsidRPr="00560F95">
        <w:rPr>
          <w:rFonts w:hAnsi="Arial" w:cs="Arial"/>
        </w:rPr>
        <w:t>de analyse van de mogelijke oorzaken van het tekort op het budget voor uitkeringen op grond van de Participatiewet en de maatregelen om dit tekort te reduceren.</w:t>
      </w:r>
    </w:p>
    <w:p w14:paraId="76772618" w14:textId="77777777" w:rsidR="008B70AA" w:rsidRDefault="008B70AA" w:rsidP="008B70AA">
      <w:pPr>
        <w:pStyle w:val="Hoofdtekst"/>
        <w:rPr>
          <w:rFonts w:hAnsi="Arial" w:cs="Arial"/>
        </w:rPr>
      </w:pPr>
      <w:r w:rsidRPr="00560F95">
        <w:rPr>
          <w:rFonts w:hAnsi="Arial" w:cs="Arial"/>
        </w:rPr>
        <w:t xml:space="preserve">Wij nodigen u </w:t>
      </w:r>
      <w:r>
        <w:rPr>
          <w:rFonts w:hAnsi="Arial" w:cs="Arial"/>
        </w:rPr>
        <w:t xml:space="preserve">tevens </w:t>
      </w:r>
      <w:r w:rsidRPr="00560F95">
        <w:rPr>
          <w:rFonts w:hAnsi="Arial" w:cs="Arial"/>
        </w:rPr>
        <w:t xml:space="preserve">uit uw opvattingen te delen </w:t>
      </w:r>
      <w:r>
        <w:rPr>
          <w:rFonts w:hAnsi="Arial" w:cs="Arial"/>
        </w:rPr>
        <w:t>over de voorliggende analyse en de getroffen maatregelen om het tekort te reduceren. Deze globale analyse is opgesteld in het kader van de zogenaamde Vangnetregeling, die navolgend wordt toegelicht.</w:t>
      </w:r>
    </w:p>
    <w:p w14:paraId="53FD51A4" w14:textId="77777777" w:rsidR="008B70AA" w:rsidRDefault="008B70AA" w:rsidP="008B70AA">
      <w:pPr>
        <w:pStyle w:val="Hoofdtekst"/>
        <w:rPr>
          <w:rFonts w:hAnsi="Arial" w:cs="Arial"/>
        </w:rPr>
      </w:pPr>
    </w:p>
    <w:p w14:paraId="3831E236" w14:textId="77777777" w:rsidR="008B70AA" w:rsidRPr="00560F95" w:rsidRDefault="008B70AA" w:rsidP="008B70AA">
      <w:pPr>
        <w:numPr>
          <w:ilvl w:val="0"/>
          <w:numId w:val="1"/>
        </w:numPr>
        <w:rPr>
          <w:rFonts w:ascii="Arial" w:hAnsi="Arial" w:cs="Arial"/>
          <w:i/>
        </w:rPr>
      </w:pPr>
      <w:r w:rsidRPr="00560F95">
        <w:rPr>
          <w:rFonts w:ascii="Arial" w:hAnsi="Arial" w:cs="Arial"/>
          <w:i/>
        </w:rPr>
        <w:t>Aanleiding</w:t>
      </w:r>
    </w:p>
    <w:p w14:paraId="6CBFFF17" w14:textId="2CD78CC0" w:rsidR="008B70AA" w:rsidRPr="00560F95" w:rsidRDefault="008B70AA" w:rsidP="008B70AA">
      <w:pPr>
        <w:rPr>
          <w:rFonts w:ascii="Arial" w:hAnsi="Arial" w:cs="Arial"/>
        </w:rPr>
      </w:pPr>
      <w:r w:rsidRPr="00560F95">
        <w:rPr>
          <w:rFonts w:ascii="Arial" w:hAnsi="Arial" w:cs="Arial"/>
        </w:rPr>
        <w:t xml:space="preserve">Gemeenten die </w:t>
      </w:r>
      <w:r w:rsidR="00531178">
        <w:rPr>
          <w:rFonts w:ascii="Arial" w:hAnsi="Arial" w:cs="Arial"/>
        </w:rPr>
        <w:t xml:space="preserve">een </w:t>
      </w:r>
      <w:r w:rsidRPr="00560F95">
        <w:rPr>
          <w:rFonts w:ascii="Arial" w:hAnsi="Arial" w:cs="Arial"/>
        </w:rPr>
        <w:t xml:space="preserve">tekort hebben op hun budget voor de uitkeringen op grond van de Participatiewet moeten deze tekorten in principe opvangen uit eigen middelen. Onder voorwaarden kunnen gemeenten echter in aanmerking komen voor een aanvullend budget. </w:t>
      </w:r>
      <w:r>
        <w:rPr>
          <w:rFonts w:ascii="Arial" w:hAnsi="Arial" w:cs="Arial"/>
        </w:rPr>
        <w:t xml:space="preserve">De voorwaarden die gelden voor de aanvraag van een aanvullend budget zijn vastgelegd in het Besluit Participatiewet. </w:t>
      </w:r>
    </w:p>
    <w:p w14:paraId="1CAA0E84" w14:textId="77777777" w:rsidR="008B70AA" w:rsidRPr="00560F95" w:rsidRDefault="008B70AA" w:rsidP="008B70AA">
      <w:pPr>
        <w:rPr>
          <w:rFonts w:ascii="Arial" w:hAnsi="Arial" w:cs="Arial"/>
        </w:rPr>
      </w:pPr>
    </w:p>
    <w:p w14:paraId="42FBACDA" w14:textId="77777777" w:rsidR="008B70AA" w:rsidRPr="00560F95" w:rsidRDefault="008B70AA" w:rsidP="008B70AA">
      <w:pPr>
        <w:rPr>
          <w:rFonts w:ascii="Arial" w:hAnsi="Arial" w:cs="Arial"/>
        </w:rPr>
      </w:pPr>
      <w:r w:rsidRPr="00560F95">
        <w:rPr>
          <w:rFonts w:ascii="Arial" w:hAnsi="Arial" w:cs="Arial"/>
        </w:rPr>
        <w:t xml:space="preserve">Om voor aanvullend budget in aanmerking te komen moeten de tekorten boven een in </w:t>
      </w:r>
      <w:r>
        <w:rPr>
          <w:rFonts w:ascii="Arial" w:hAnsi="Arial" w:cs="Arial"/>
        </w:rPr>
        <w:t xml:space="preserve">artikel 10 van het Besluit Participatiewet </w:t>
      </w:r>
      <w:r w:rsidRPr="00560F95">
        <w:rPr>
          <w:rFonts w:ascii="Arial" w:hAnsi="Arial" w:cs="Arial"/>
        </w:rPr>
        <w:t>vastgestelde drempel uitkomen. Voor 201</w:t>
      </w:r>
      <w:r>
        <w:rPr>
          <w:rFonts w:ascii="Arial" w:hAnsi="Arial" w:cs="Arial"/>
        </w:rPr>
        <w:t>6</w:t>
      </w:r>
      <w:r w:rsidRPr="00560F95">
        <w:rPr>
          <w:rFonts w:ascii="Arial" w:hAnsi="Arial" w:cs="Arial"/>
        </w:rPr>
        <w:t xml:space="preserve"> is deze drempel vastgesteld op 5%. Het bedrag waarmee het tekort boven de 5% uitkomt, wordt voor de helft gecompenseerd. Komt het tekort boven de 10% uit, dan wordt dit deel volledig gecompenseerd. </w:t>
      </w:r>
    </w:p>
    <w:p w14:paraId="4C230B4D" w14:textId="77777777" w:rsidR="008B70AA" w:rsidRPr="00560F95" w:rsidRDefault="008B70AA" w:rsidP="008B70AA">
      <w:pPr>
        <w:rPr>
          <w:rFonts w:ascii="Arial" w:hAnsi="Arial" w:cs="Arial"/>
        </w:rPr>
      </w:pPr>
    </w:p>
    <w:p w14:paraId="77755638" w14:textId="69AB0913" w:rsidR="008B70AA" w:rsidRPr="00913D00" w:rsidRDefault="008B70AA" w:rsidP="008B70AA">
      <w:pPr>
        <w:rPr>
          <w:rFonts w:ascii="Arial" w:hAnsi="Arial" w:cs="Arial"/>
          <w:color w:val="FF0000"/>
        </w:rPr>
      </w:pPr>
      <w:r w:rsidRPr="00560F95">
        <w:rPr>
          <w:rFonts w:ascii="Arial" w:hAnsi="Arial" w:cs="Arial"/>
        </w:rPr>
        <w:t xml:space="preserve">Tekorten worden per gemeente vastgesteld. Op basis van de eind </w:t>
      </w:r>
      <w:r w:rsidR="00F56B64" w:rsidRPr="00B84B04">
        <w:rPr>
          <w:rFonts w:ascii="Arial" w:hAnsi="Arial" w:cs="Arial"/>
        </w:rPr>
        <w:t xml:space="preserve">oktober 2016 </w:t>
      </w:r>
      <w:r>
        <w:rPr>
          <w:rFonts w:ascii="Arial" w:hAnsi="Arial" w:cs="Arial"/>
        </w:rPr>
        <w:t xml:space="preserve">bekende </w:t>
      </w:r>
      <w:r w:rsidR="0028728A">
        <w:rPr>
          <w:rFonts w:ascii="Arial" w:hAnsi="Arial" w:cs="Arial"/>
        </w:rPr>
        <w:t xml:space="preserve">financiële </w:t>
      </w:r>
      <w:r>
        <w:rPr>
          <w:rFonts w:ascii="Arial" w:hAnsi="Arial" w:cs="Arial"/>
        </w:rPr>
        <w:t>gegevens</w:t>
      </w:r>
      <w:r w:rsidR="00EB3358">
        <w:rPr>
          <w:rStyle w:val="Voetnootmarkering"/>
          <w:rFonts w:ascii="Arial" w:hAnsi="Arial" w:cs="Arial"/>
        </w:rPr>
        <w:footnoteReference w:id="1"/>
      </w:r>
      <w:r>
        <w:rPr>
          <w:rFonts w:ascii="Arial" w:hAnsi="Arial" w:cs="Arial"/>
        </w:rPr>
        <w:t xml:space="preserve"> sluit de gemeente Alblasserdam </w:t>
      </w:r>
      <w:r w:rsidR="00D37A4B">
        <w:rPr>
          <w:rFonts w:ascii="Arial" w:hAnsi="Arial" w:cs="Arial"/>
        </w:rPr>
        <w:t xml:space="preserve">het jaar 2016 </w:t>
      </w:r>
      <w:r w:rsidRPr="00560F95">
        <w:rPr>
          <w:rFonts w:ascii="Arial" w:hAnsi="Arial" w:cs="Arial"/>
        </w:rPr>
        <w:t xml:space="preserve">af met een tekort boven de </w:t>
      </w:r>
      <w:r w:rsidR="00531178">
        <w:rPr>
          <w:rFonts w:ascii="Arial" w:hAnsi="Arial" w:cs="Arial"/>
        </w:rPr>
        <w:t>vast</w:t>
      </w:r>
      <w:r w:rsidRPr="00560F95">
        <w:rPr>
          <w:rFonts w:ascii="Arial" w:hAnsi="Arial" w:cs="Arial"/>
        </w:rPr>
        <w:t xml:space="preserve">gestelde drempel. </w:t>
      </w:r>
      <w:r>
        <w:rPr>
          <w:rFonts w:ascii="Arial" w:hAnsi="Arial" w:cs="Arial"/>
        </w:rPr>
        <w:t xml:space="preserve">Naar verwachting zal de bestandsontwikkeling over de laatste </w:t>
      </w:r>
      <w:r w:rsidR="00D37A4B">
        <w:rPr>
          <w:rFonts w:ascii="Arial" w:hAnsi="Arial" w:cs="Arial"/>
        </w:rPr>
        <w:t xml:space="preserve">twee </w:t>
      </w:r>
      <w:r>
        <w:rPr>
          <w:rFonts w:ascii="Arial" w:hAnsi="Arial" w:cs="Arial"/>
        </w:rPr>
        <w:t>maand</w:t>
      </w:r>
      <w:r w:rsidR="00D37A4B">
        <w:rPr>
          <w:rFonts w:ascii="Arial" w:hAnsi="Arial" w:cs="Arial"/>
        </w:rPr>
        <w:t>en</w:t>
      </w:r>
      <w:r>
        <w:rPr>
          <w:rFonts w:ascii="Arial" w:hAnsi="Arial" w:cs="Arial"/>
        </w:rPr>
        <w:t xml:space="preserve"> van 2016 </w:t>
      </w:r>
      <w:r w:rsidRPr="008C00D2">
        <w:rPr>
          <w:rFonts w:ascii="Arial" w:hAnsi="Arial" w:cs="Arial"/>
        </w:rPr>
        <w:t>hi</w:t>
      </w:r>
      <w:r w:rsidR="00F56B64">
        <w:rPr>
          <w:rFonts w:ascii="Arial" w:hAnsi="Arial" w:cs="Arial"/>
        </w:rPr>
        <w:t>er geen verandering in brengen.</w:t>
      </w:r>
    </w:p>
    <w:p w14:paraId="6B79ACF5" w14:textId="77777777" w:rsidR="008B70AA" w:rsidRPr="00560F95" w:rsidRDefault="008B70AA" w:rsidP="008B70AA">
      <w:pPr>
        <w:rPr>
          <w:rFonts w:ascii="Arial" w:hAnsi="Arial" w:cs="Arial"/>
        </w:rPr>
      </w:pPr>
    </w:p>
    <w:p w14:paraId="35ED34B5" w14:textId="0D15FD35" w:rsidR="008B70AA" w:rsidRPr="00560F95" w:rsidRDefault="008B70AA" w:rsidP="008B70AA">
      <w:pPr>
        <w:rPr>
          <w:rFonts w:ascii="Arial" w:hAnsi="Arial" w:cs="Arial"/>
        </w:rPr>
      </w:pPr>
      <w:r>
        <w:rPr>
          <w:rFonts w:ascii="Arial" w:hAnsi="Arial" w:cs="Arial"/>
        </w:rPr>
        <w:t>Hoewel beleid en uitvoering van de Participatiewet sinds 2007 is uitbesteed aan de GR Drechtsteden, vindt een</w:t>
      </w:r>
      <w:r w:rsidRPr="00560F95">
        <w:rPr>
          <w:rFonts w:ascii="Arial" w:hAnsi="Arial" w:cs="Arial"/>
        </w:rPr>
        <w:t xml:space="preserve"> toekenning van een vangnetregeling </w:t>
      </w:r>
      <w:r>
        <w:rPr>
          <w:rFonts w:ascii="Arial" w:hAnsi="Arial" w:cs="Arial"/>
        </w:rPr>
        <w:t>op grond van artikel 8c van de Participatiewet</w:t>
      </w:r>
      <w:r w:rsidRPr="00560F95">
        <w:rPr>
          <w:rFonts w:ascii="Arial" w:hAnsi="Arial" w:cs="Arial"/>
        </w:rPr>
        <w:t xml:space="preserve"> plaats op verzoek</w:t>
      </w:r>
      <w:r>
        <w:rPr>
          <w:rFonts w:ascii="Arial" w:hAnsi="Arial" w:cs="Arial"/>
        </w:rPr>
        <w:t xml:space="preserve"> van het college van </w:t>
      </w:r>
      <w:r w:rsidR="00B70F07">
        <w:rPr>
          <w:rFonts w:ascii="Arial" w:hAnsi="Arial" w:cs="Arial"/>
        </w:rPr>
        <w:t>B&amp;W</w:t>
      </w:r>
      <w:r>
        <w:rPr>
          <w:rFonts w:ascii="Arial" w:hAnsi="Arial" w:cs="Arial"/>
        </w:rPr>
        <w:t>.</w:t>
      </w:r>
      <w:r w:rsidRPr="00560F95">
        <w:rPr>
          <w:rFonts w:ascii="Arial" w:hAnsi="Arial" w:cs="Arial"/>
        </w:rPr>
        <w:t xml:space="preserve"> </w:t>
      </w:r>
      <w:r>
        <w:rPr>
          <w:rFonts w:ascii="Arial" w:hAnsi="Arial" w:cs="Arial"/>
        </w:rPr>
        <w:t>B</w:t>
      </w:r>
      <w:r w:rsidRPr="00560F95">
        <w:rPr>
          <w:rFonts w:ascii="Arial" w:hAnsi="Arial" w:cs="Arial"/>
        </w:rPr>
        <w:t xml:space="preserve">ij het verzoek moet kenbaar </w:t>
      </w:r>
      <w:r>
        <w:rPr>
          <w:rFonts w:ascii="Arial" w:hAnsi="Arial" w:cs="Arial"/>
        </w:rPr>
        <w:t xml:space="preserve">worden gemaakt </w:t>
      </w:r>
      <w:r w:rsidRPr="00560F95">
        <w:rPr>
          <w:rFonts w:ascii="Arial" w:hAnsi="Arial" w:cs="Arial"/>
        </w:rPr>
        <w:t xml:space="preserve">dat de </w:t>
      </w:r>
      <w:r>
        <w:rPr>
          <w:rFonts w:ascii="Arial" w:hAnsi="Arial" w:cs="Arial"/>
        </w:rPr>
        <w:t>gemeente</w:t>
      </w:r>
      <w:r w:rsidRPr="00560F95">
        <w:rPr>
          <w:rFonts w:ascii="Arial" w:hAnsi="Arial" w:cs="Arial"/>
        </w:rPr>
        <w:t xml:space="preserve">raad </w:t>
      </w:r>
      <w:r w:rsidR="00531178">
        <w:rPr>
          <w:rFonts w:ascii="Arial" w:hAnsi="Arial" w:cs="Arial"/>
        </w:rPr>
        <w:t xml:space="preserve">in 2016 </w:t>
      </w:r>
      <w:r>
        <w:rPr>
          <w:rFonts w:ascii="Arial" w:hAnsi="Arial" w:cs="Arial"/>
        </w:rPr>
        <w:t xml:space="preserve">is </w:t>
      </w:r>
      <w:r w:rsidRPr="00560F95">
        <w:rPr>
          <w:rFonts w:ascii="Arial" w:hAnsi="Arial" w:cs="Arial"/>
        </w:rPr>
        <w:t>geïnformeerd over de analyse van mogelijke oorzaken en de maatregelen die worden genomen om tot reductie van dit tekort te komen. Verder moet uit een document blijken wat de opvattingen van de</w:t>
      </w:r>
      <w:r>
        <w:rPr>
          <w:rFonts w:ascii="Arial" w:hAnsi="Arial" w:cs="Arial"/>
        </w:rPr>
        <w:t xml:space="preserve"> gemeenter</w:t>
      </w:r>
      <w:r w:rsidRPr="00560F95">
        <w:rPr>
          <w:rFonts w:ascii="Arial" w:hAnsi="Arial" w:cs="Arial"/>
        </w:rPr>
        <w:t xml:space="preserve">aad </w:t>
      </w:r>
      <w:r>
        <w:rPr>
          <w:rFonts w:ascii="Arial" w:hAnsi="Arial" w:cs="Arial"/>
        </w:rPr>
        <w:t xml:space="preserve">zijn over de informatie van het college van </w:t>
      </w:r>
      <w:r w:rsidR="00B70F07">
        <w:rPr>
          <w:rFonts w:ascii="Arial" w:hAnsi="Arial" w:cs="Arial"/>
        </w:rPr>
        <w:t>B&amp;W</w:t>
      </w:r>
      <w:r>
        <w:rPr>
          <w:rFonts w:ascii="Arial" w:hAnsi="Arial" w:cs="Arial"/>
        </w:rPr>
        <w:t xml:space="preserve">. </w:t>
      </w:r>
      <w:r w:rsidRPr="00560F95">
        <w:rPr>
          <w:rFonts w:ascii="Arial" w:hAnsi="Arial" w:cs="Arial"/>
        </w:rPr>
        <w:t xml:space="preserve"> </w:t>
      </w:r>
    </w:p>
    <w:p w14:paraId="680BC769" w14:textId="77777777" w:rsidR="004B32D7" w:rsidRDefault="00657AFD"/>
    <w:p w14:paraId="26EE082C" w14:textId="77777777" w:rsidR="008B70AA" w:rsidRPr="00560F95" w:rsidRDefault="008B70AA" w:rsidP="008B70AA">
      <w:pPr>
        <w:pStyle w:val="Tekstzonderopmaak"/>
        <w:numPr>
          <w:ilvl w:val="0"/>
          <w:numId w:val="2"/>
        </w:numPr>
        <w:tabs>
          <w:tab w:val="left" w:pos="426"/>
        </w:tabs>
        <w:ind w:left="0" w:firstLine="0"/>
        <w:rPr>
          <w:rFonts w:ascii="Arial" w:hAnsi="Arial" w:cs="Arial"/>
          <w:b/>
          <w:sz w:val="20"/>
          <w:szCs w:val="20"/>
        </w:rPr>
      </w:pPr>
      <w:r w:rsidRPr="00560F95">
        <w:rPr>
          <w:rFonts w:ascii="Arial" w:hAnsi="Arial" w:cs="Arial"/>
          <w:b/>
          <w:sz w:val="20"/>
          <w:szCs w:val="20"/>
        </w:rPr>
        <w:t>Bestandsontwikkeling</w:t>
      </w:r>
    </w:p>
    <w:p w14:paraId="14BC5196" w14:textId="77777777" w:rsidR="008B70AA" w:rsidRPr="00560F95" w:rsidRDefault="008B70AA" w:rsidP="008B70AA">
      <w:pPr>
        <w:pStyle w:val="Tekstzonderopmaak"/>
        <w:tabs>
          <w:tab w:val="left" w:pos="426"/>
        </w:tabs>
        <w:rPr>
          <w:rFonts w:ascii="Arial" w:hAnsi="Arial" w:cs="Arial"/>
          <w:sz w:val="20"/>
          <w:szCs w:val="20"/>
        </w:rPr>
      </w:pPr>
    </w:p>
    <w:p w14:paraId="23D51C0F" w14:textId="77777777" w:rsidR="004B1FAD" w:rsidRPr="005120B3" w:rsidRDefault="008B70AA" w:rsidP="008B70AA">
      <w:pPr>
        <w:pStyle w:val="Tekstzonderopmaak"/>
        <w:numPr>
          <w:ilvl w:val="1"/>
          <w:numId w:val="2"/>
        </w:numPr>
        <w:tabs>
          <w:tab w:val="left" w:pos="0"/>
        </w:tabs>
        <w:ind w:left="0" w:firstLine="0"/>
        <w:rPr>
          <w:rFonts w:ascii="Arial" w:eastAsia="Times New Roman" w:hAnsi="Arial" w:cs="Arial"/>
          <w:sz w:val="20"/>
          <w:szCs w:val="20"/>
          <w:lang w:eastAsia="nl-NL"/>
        </w:rPr>
      </w:pPr>
      <w:r w:rsidRPr="005120B3">
        <w:rPr>
          <w:rFonts w:ascii="Arial" w:hAnsi="Arial" w:cs="Arial"/>
          <w:b/>
          <w:sz w:val="20"/>
          <w:szCs w:val="20"/>
        </w:rPr>
        <w:t>Landelijke ontwikkelingen</w:t>
      </w:r>
    </w:p>
    <w:p w14:paraId="1792938E" w14:textId="4A308392" w:rsidR="008B70AA" w:rsidRPr="008B70AA" w:rsidRDefault="008B70AA" w:rsidP="004B1FAD">
      <w:pPr>
        <w:pStyle w:val="Tekstzonderopmaak"/>
        <w:tabs>
          <w:tab w:val="left" w:pos="0"/>
        </w:tabs>
        <w:rPr>
          <w:rFonts w:ascii="Arial" w:eastAsia="Times New Roman" w:hAnsi="Arial" w:cs="Arial"/>
          <w:sz w:val="20"/>
          <w:szCs w:val="20"/>
          <w:lang w:eastAsia="nl-NL"/>
        </w:rPr>
      </w:pPr>
      <w:r w:rsidRPr="008B70AA">
        <w:rPr>
          <w:rFonts w:ascii="Arial" w:eastAsia="Times New Roman" w:hAnsi="Arial" w:cs="Arial"/>
          <w:sz w:val="20"/>
          <w:szCs w:val="20"/>
          <w:lang w:eastAsia="nl-NL"/>
        </w:rPr>
        <w:t xml:space="preserve">De Nederlandse economie groeide in 2015 met 2,0%. In het kielzog van deze aantrekkende economie nam de werkgelegenheid in 2015 met 1,3% toe. In het </w:t>
      </w:r>
      <w:r w:rsidR="00452342">
        <w:rPr>
          <w:rFonts w:ascii="Arial" w:hAnsi="Arial" w:cs="Arial"/>
        </w:rPr>
        <w:t>1</w:t>
      </w:r>
      <w:r w:rsidR="00452342" w:rsidRPr="00B02561">
        <w:rPr>
          <w:rFonts w:ascii="Arial" w:hAnsi="Arial" w:cs="Arial"/>
          <w:vertAlign w:val="superscript"/>
        </w:rPr>
        <w:t>e</w:t>
      </w:r>
      <w:r w:rsidRPr="008B70AA">
        <w:rPr>
          <w:rFonts w:ascii="Arial" w:eastAsia="Times New Roman" w:hAnsi="Arial" w:cs="Arial"/>
          <w:sz w:val="20"/>
          <w:szCs w:val="20"/>
          <w:lang w:eastAsia="nl-NL"/>
        </w:rPr>
        <w:t xml:space="preserve"> en </w:t>
      </w:r>
      <w:r w:rsidR="00452342">
        <w:rPr>
          <w:rFonts w:ascii="Arial" w:hAnsi="Arial" w:cs="Arial"/>
        </w:rPr>
        <w:t>2</w:t>
      </w:r>
      <w:r w:rsidR="00452342" w:rsidRPr="00B02561">
        <w:rPr>
          <w:rFonts w:ascii="Arial" w:hAnsi="Arial" w:cs="Arial"/>
          <w:vertAlign w:val="superscript"/>
        </w:rPr>
        <w:t>e</w:t>
      </w:r>
      <w:r w:rsidRPr="008B70AA">
        <w:rPr>
          <w:rFonts w:ascii="Arial" w:eastAsia="Times New Roman" w:hAnsi="Arial" w:cs="Arial"/>
          <w:sz w:val="20"/>
          <w:szCs w:val="20"/>
          <w:lang w:eastAsia="nl-NL"/>
        </w:rPr>
        <w:t xml:space="preserve"> kwartaal</w:t>
      </w:r>
      <w:r w:rsidR="00531178">
        <w:rPr>
          <w:rFonts w:ascii="Arial" w:eastAsia="Times New Roman" w:hAnsi="Arial" w:cs="Arial"/>
          <w:sz w:val="20"/>
          <w:szCs w:val="20"/>
          <w:lang w:eastAsia="nl-NL"/>
        </w:rPr>
        <w:t xml:space="preserve"> van 2016</w:t>
      </w:r>
      <w:r w:rsidRPr="008B70AA">
        <w:rPr>
          <w:rFonts w:ascii="Arial" w:eastAsia="Times New Roman" w:hAnsi="Arial" w:cs="Arial"/>
          <w:sz w:val="20"/>
          <w:szCs w:val="20"/>
          <w:lang w:eastAsia="nl-NL"/>
        </w:rPr>
        <w:t xml:space="preserve"> zet het economisch herstel goed door, met een groei van 0,6%. De banengroei blijft daarbij echter flink achter: 0,1% in Q1 en 0,4% in Q2. Over het </w:t>
      </w:r>
      <w:r w:rsidR="00452342">
        <w:rPr>
          <w:rFonts w:ascii="Arial" w:hAnsi="Arial" w:cs="Arial"/>
        </w:rPr>
        <w:t>3</w:t>
      </w:r>
      <w:r w:rsidR="00452342" w:rsidRPr="00B02561">
        <w:rPr>
          <w:rFonts w:ascii="Arial" w:hAnsi="Arial" w:cs="Arial"/>
          <w:vertAlign w:val="superscript"/>
        </w:rPr>
        <w:t>e</w:t>
      </w:r>
      <w:r w:rsidRPr="008B70AA">
        <w:rPr>
          <w:rFonts w:ascii="Arial" w:eastAsia="Times New Roman" w:hAnsi="Arial" w:cs="Arial"/>
          <w:sz w:val="20"/>
          <w:szCs w:val="20"/>
          <w:lang w:eastAsia="nl-NL"/>
        </w:rPr>
        <w:t xml:space="preserve"> kwartaal van 2016 zijn nog geen cijfers bekend, maar het conjunctuurbeeld blijft positief, zo meldde het CBS recent. "Alle indicatoren presteren half september beter dan hun langjarige gemiddelde".</w:t>
      </w:r>
    </w:p>
    <w:p w14:paraId="6D335A91" w14:textId="77777777" w:rsidR="008B70AA" w:rsidRPr="00153E8A" w:rsidRDefault="008B70AA" w:rsidP="008B70AA">
      <w:pPr>
        <w:rPr>
          <w:rFonts w:ascii="Arial" w:hAnsi="Arial" w:cs="Arial"/>
        </w:rPr>
      </w:pPr>
    </w:p>
    <w:p w14:paraId="66265E6A" w14:textId="6A6524AA" w:rsidR="008B70AA" w:rsidRPr="00153E8A" w:rsidRDefault="008B70AA" w:rsidP="008B70AA">
      <w:pPr>
        <w:rPr>
          <w:rFonts w:ascii="Arial" w:hAnsi="Arial" w:cs="Arial"/>
        </w:rPr>
      </w:pPr>
      <w:r w:rsidRPr="00153E8A">
        <w:rPr>
          <w:rFonts w:ascii="Arial" w:hAnsi="Arial" w:cs="Arial"/>
        </w:rPr>
        <w:t>Het positieve econom</w:t>
      </w:r>
      <w:r w:rsidR="00C8472A">
        <w:rPr>
          <w:rFonts w:ascii="Arial" w:hAnsi="Arial" w:cs="Arial"/>
        </w:rPr>
        <w:t xml:space="preserve">isch tij zien we nog maar </w:t>
      </w:r>
      <w:r w:rsidR="00BE11BA">
        <w:rPr>
          <w:rFonts w:ascii="Arial" w:hAnsi="Arial" w:cs="Arial"/>
        </w:rPr>
        <w:t>voor een deel</w:t>
      </w:r>
      <w:r w:rsidRPr="00153E8A">
        <w:rPr>
          <w:rFonts w:ascii="Arial" w:hAnsi="Arial" w:cs="Arial"/>
        </w:rPr>
        <w:t xml:space="preserve"> terug in de meest recente cijfers over de arbeidsmarkt. Daarbij is het een gegeven dat mensen met een uitkering pas later profiteren van economisch herstel ten opzichte van andere werkzoekenden, zoals mensen met een WW-uitkering, die vaak dichter bij de arbeidsmarkt staan. Doordat mensen met pensioen gaan zijn er naast vacatures die te maken hebben met uitbreiding van het totaal aantal banen ook - een oplopend aantal - vacatures ter vervanging van bestaand personeel. Daardoor groeit het totaal aantal ontstane vacatures wel harder dan de totale werkgelegenheid. Maar in het </w:t>
      </w:r>
      <w:r w:rsidR="00452342">
        <w:rPr>
          <w:rFonts w:ascii="Arial" w:hAnsi="Arial" w:cs="Arial"/>
        </w:rPr>
        <w:t>3</w:t>
      </w:r>
      <w:r w:rsidR="00452342" w:rsidRPr="00B02561">
        <w:rPr>
          <w:rFonts w:ascii="Arial" w:hAnsi="Arial" w:cs="Arial"/>
          <w:vertAlign w:val="superscript"/>
        </w:rPr>
        <w:t>e</w:t>
      </w:r>
      <w:r w:rsidRPr="00153E8A">
        <w:rPr>
          <w:rFonts w:ascii="Arial" w:hAnsi="Arial" w:cs="Arial"/>
        </w:rPr>
        <w:t xml:space="preserve"> kwartaal is de groei van het aantal ontstane vacatures vooralsnog (cijfers over juli en augustus) nog maar heel bescheiden. De inhaalvraag die zich vanaf 2014 manifesteerde lijkt enigszins te zijn uitgewerkt. Ook het opschuiven van de pensioenleeftijd speelt hierin een rol. </w:t>
      </w:r>
    </w:p>
    <w:p w14:paraId="6900FE85" w14:textId="77777777" w:rsidR="008B70AA" w:rsidRPr="00153E8A" w:rsidRDefault="008B70AA" w:rsidP="008B70AA">
      <w:pPr>
        <w:rPr>
          <w:rFonts w:ascii="Arial" w:hAnsi="Arial" w:cs="Arial"/>
        </w:rPr>
      </w:pPr>
    </w:p>
    <w:p w14:paraId="0171228F" w14:textId="77777777" w:rsidR="00C8472A" w:rsidRDefault="00C8472A">
      <w:pPr>
        <w:spacing w:after="160" w:line="259" w:lineRule="auto"/>
        <w:rPr>
          <w:rFonts w:ascii="Arial" w:hAnsi="Arial" w:cs="Arial"/>
          <w:b/>
        </w:rPr>
      </w:pPr>
      <w:r>
        <w:rPr>
          <w:rFonts w:ascii="Arial" w:hAnsi="Arial" w:cs="Arial"/>
          <w:b/>
        </w:rPr>
        <w:br w:type="page"/>
      </w:r>
    </w:p>
    <w:p w14:paraId="66311160" w14:textId="6AE229F9" w:rsidR="008B70AA" w:rsidRPr="00153E8A" w:rsidRDefault="008B70AA" w:rsidP="008B70AA">
      <w:pPr>
        <w:rPr>
          <w:rFonts w:ascii="Arial" w:hAnsi="Arial" w:cs="Arial"/>
          <w:b/>
        </w:rPr>
      </w:pPr>
      <w:r w:rsidRPr="00153E8A">
        <w:rPr>
          <w:rFonts w:ascii="Arial" w:hAnsi="Arial" w:cs="Arial"/>
          <w:b/>
        </w:rPr>
        <w:lastRenderedPageBreak/>
        <w:t xml:space="preserve">Vooruitzichten landelijk </w:t>
      </w:r>
    </w:p>
    <w:p w14:paraId="037480A5" w14:textId="77777777" w:rsidR="008B70AA" w:rsidRPr="008B70AA" w:rsidRDefault="008B70AA" w:rsidP="008B70AA">
      <w:pPr>
        <w:pStyle w:val="Tekstzonderopmaak"/>
        <w:numPr>
          <w:ilvl w:val="0"/>
          <w:numId w:val="3"/>
        </w:numPr>
        <w:tabs>
          <w:tab w:val="left" w:pos="0"/>
        </w:tabs>
        <w:rPr>
          <w:rFonts w:ascii="Arial" w:eastAsia="Times New Roman" w:hAnsi="Arial" w:cs="Arial"/>
          <w:sz w:val="20"/>
          <w:szCs w:val="20"/>
          <w:lang w:eastAsia="nl-NL"/>
        </w:rPr>
      </w:pPr>
      <w:r w:rsidRPr="008B70AA">
        <w:rPr>
          <w:rFonts w:ascii="Arial" w:eastAsia="Times New Roman" w:hAnsi="Arial" w:cs="Arial"/>
          <w:sz w:val="20"/>
          <w:szCs w:val="20"/>
          <w:lang w:eastAsia="nl-NL"/>
        </w:rPr>
        <w:t xml:space="preserve">Het CPB raamt in de recente Makro Economische Verkenningen voor heel 2016 1,7% economische groei en 1,0% banengroei. Beide dus wat lager dan in 2015. Vanwege de mobiliteit op en de uittreding uit de arbeidsmarkt groeit het aantal vacatures harder en zal in 2016 naar verwachting met 6% toenemen (bron UWV). </w:t>
      </w:r>
    </w:p>
    <w:p w14:paraId="2777FB95" w14:textId="77777777" w:rsidR="008B70AA" w:rsidRPr="008B70AA" w:rsidRDefault="008B70AA" w:rsidP="008B70AA">
      <w:pPr>
        <w:pStyle w:val="Tekstzonderopmaak"/>
        <w:numPr>
          <w:ilvl w:val="0"/>
          <w:numId w:val="3"/>
        </w:numPr>
        <w:tabs>
          <w:tab w:val="left" w:pos="0"/>
        </w:tabs>
        <w:rPr>
          <w:rFonts w:ascii="Arial" w:eastAsia="Times New Roman" w:hAnsi="Arial" w:cs="Arial"/>
          <w:sz w:val="20"/>
          <w:szCs w:val="20"/>
          <w:lang w:eastAsia="nl-NL"/>
        </w:rPr>
      </w:pPr>
      <w:r w:rsidRPr="008B70AA">
        <w:rPr>
          <w:rFonts w:ascii="Arial" w:eastAsia="Times New Roman" w:hAnsi="Arial" w:cs="Arial"/>
          <w:sz w:val="20"/>
          <w:szCs w:val="20"/>
          <w:lang w:eastAsia="nl-NL"/>
        </w:rPr>
        <w:t xml:space="preserve">De economische groei zal naar verwachting niet voldoende zijn om het bijstandsvolume te doen dalen. Het CPB voorziet zowel voor 2016 als voor 2017 nog een lichte groei. </w:t>
      </w:r>
    </w:p>
    <w:p w14:paraId="40FB3B1A" w14:textId="77777777" w:rsidR="008B70AA" w:rsidRPr="008B70AA" w:rsidRDefault="008B70AA" w:rsidP="008B70AA">
      <w:pPr>
        <w:pStyle w:val="Tekstzonderopmaak"/>
        <w:numPr>
          <w:ilvl w:val="0"/>
          <w:numId w:val="3"/>
        </w:numPr>
        <w:tabs>
          <w:tab w:val="left" w:pos="0"/>
        </w:tabs>
        <w:rPr>
          <w:rFonts w:ascii="Arial" w:eastAsia="Times New Roman" w:hAnsi="Arial" w:cs="Arial"/>
          <w:sz w:val="20"/>
          <w:szCs w:val="20"/>
          <w:lang w:eastAsia="nl-NL"/>
        </w:rPr>
      </w:pPr>
      <w:r w:rsidRPr="008B70AA">
        <w:rPr>
          <w:rFonts w:ascii="Arial" w:eastAsia="Times New Roman" w:hAnsi="Arial" w:cs="Arial"/>
          <w:sz w:val="20"/>
          <w:szCs w:val="20"/>
          <w:lang w:eastAsia="nl-NL"/>
        </w:rPr>
        <w:t>Het aantal WW uitkeringsjaren daalt in 2016 en 2017. Het aantal bijstandsuitkeringen daarentegen neemt toe vanwege de instroom door de voormalige Wajong-doelgroep en asielzoekers.</w:t>
      </w:r>
    </w:p>
    <w:p w14:paraId="6F88AD03" w14:textId="77777777" w:rsidR="008B70AA" w:rsidRPr="008B70AA" w:rsidRDefault="008B70AA" w:rsidP="008B70AA">
      <w:pPr>
        <w:ind w:left="705" w:hanging="705"/>
        <w:rPr>
          <w:rFonts w:ascii="Arial" w:eastAsia="Calibri" w:hAnsi="Arial" w:cs="Arial"/>
          <w:b/>
          <w:lang w:eastAsia="en-US"/>
        </w:rPr>
      </w:pPr>
    </w:p>
    <w:p w14:paraId="696230CB" w14:textId="1EBD40DB" w:rsidR="008B70AA" w:rsidRPr="004B1FAD" w:rsidRDefault="00EB6D48" w:rsidP="004B1FAD">
      <w:pPr>
        <w:pStyle w:val="Lijstalinea"/>
        <w:numPr>
          <w:ilvl w:val="1"/>
          <w:numId w:val="2"/>
        </w:numPr>
        <w:rPr>
          <w:rFonts w:eastAsia="Calibri" w:cs="Arial"/>
          <w:b/>
          <w:lang w:eastAsia="en-US"/>
        </w:rPr>
      </w:pPr>
      <w:r w:rsidRPr="004B1FAD">
        <w:rPr>
          <w:rFonts w:eastAsia="Calibri" w:cs="Arial"/>
          <w:b/>
          <w:lang w:eastAsia="en-US"/>
        </w:rPr>
        <w:t>Ontwikkelingen</w:t>
      </w:r>
      <w:r w:rsidR="008B70AA" w:rsidRPr="004B1FAD">
        <w:rPr>
          <w:rFonts w:eastAsia="Calibri" w:cs="Arial"/>
          <w:b/>
          <w:lang w:eastAsia="en-US"/>
        </w:rPr>
        <w:t xml:space="preserve"> Drechtsteden</w:t>
      </w:r>
      <w:r w:rsidRPr="004B1FAD">
        <w:rPr>
          <w:rFonts w:eastAsia="Calibri" w:cs="Arial"/>
          <w:b/>
          <w:lang w:eastAsia="en-US"/>
        </w:rPr>
        <w:t>bestand</w:t>
      </w:r>
    </w:p>
    <w:p w14:paraId="1D81FC6A" w14:textId="77777777" w:rsidR="004B1FAD" w:rsidRPr="004B1FAD" w:rsidRDefault="004B1FAD" w:rsidP="004B1FAD">
      <w:pPr>
        <w:pStyle w:val="Lijstalinea"/>
        <w:ind w:left="420"/>
        <w:rPr>
          <w:rFonts w:eastAsia="Calibri" w:cs="Arial"/>
          <w:b/>
          <w:lang w:eastAsia="en-US"/>
        </w:rPr>
      </w:pPr>
    </w:p>
    <w:p w14:paraId="7B4B9437" w14:textId="0C1FE495" w:rsidR="004B1FAD" w:rsidRPr="00560F95" w:rsidRDefault="004B1FAD" w:rsidP="004B1FAD">
      <w:pPr>
        <w:numPr>
          <w:ilvl w:val="0"/>
          <w:numId w:val="1"/>
        </w:numPr>
        <w:rPr>
          <w:rFonts w:ascii="Arial" w:hAnsi="Arial" w:cs="Arial"/>
          <w:i/>
        </w:rPr>
      </w:pPr>
      <w:r w:rsidRPr="00560F95">
        <w:rPr>
          <w:rFonts w:ascii="Arial" w:hAnsi="Arial" w:cs="Arial"/>
          <w:i/>
        </w:rPr>
        <w:t>A</w:t>
      </w:r>
      <w:r>
        <w:rPr>
          <w:rFonts w:ascii="Arial" w:hAnsi="Arial" w:cs="Arial"/>
          <w:i/>
        </w:rPr>
        <w:t>lgemeen</w:t>
      </w:r>
    </w:p>
    <w:p w14:paraId="45BBC4F9" w14:textId="299BE637" w:rsidR="004B1FAD" w:rsidRPr="00135250" w:rsidRDefault="004B1FAD" w:rsidP="004B1FAD">
      <w:pPr>
        <w:rPr>
          <w:rFonts w:ascii="Arial" w:hAnsi="Arial" w:cs="Arial"/>
        </w:rPr>
      </w:pPr>
      <w:r w:rsidRPr="00135250">
        <w:rPr>
          <w:rFonts w:ascii="Arial" w:hAnsi="Arial" w:cs="Arial"/>
        </w:rPr>
        <w:t>De omvang van het bijstandsbestand in een gemeente wordt bepaald door verschillende factoren. Een aantal van deze factoren valt niet door de gemeente te beïnvloeden, hierbij valt te denken aan de conjuncturele ontwikkeling en landelijke wijzigingen in wetgeving waardoor</w:t>
      </w:r>
      <w:r w:rsidR="00E95AF4" w:rsidRPr="00135250">
        <w:rPr>
          <w:rFonts w:ascii="Arial" w:hAnsi="Arial" w:cs="Arial"/>
        </w:rPr>
        <w:t xml:space="preserve"> bijvoorbeeld</w:t>
      </w:r>
      <w:r w:rsidRPr="00135250">
        <w:rPr>
          <w:rFonts w:ascii="Arial" w:hAnsi="Arial" w:cs="Arial"/>
        </w:rPr>
        <w:t xml:space="preserve"> de doelgroep van de Participatiewet wordt verbreed en de pensioenleeftijd wordt verhoogd.</w:t>
      </w:r>
    </w:p>
    <w:p w14:paraId="58174607" w14:textId="77777777" w:rsidR="004B1FAD" w:rsidRDefault="004B1FAD" w:rsidP="004B1FAD">
      <w:pPr>
        <w:rPr>
          <w:rFonts w:cs="Arial"/>
        </w:rPr>
      </w:pPr>
    </w:p>
    <w:p w14:paraId="159E5E7B" w14:textId="500273AA" w:rsidR="004B1FAD" w:rsidRPr="00560F95" w:rsidRDefault="004B1FAD" w:rsidP="004B1FAD">
      <w:pPr>
        <w:numPr>
          <w:ilvl w:val="0"/>
          <w:numId w:val="1"/>
        </w:numPr>
        <w:rPr>
          <w:rFonts w:ascii="Arial" w:hAnsi="Arial" w:cs="Arial"/>
          <w:i/>
        </w:rPr>
      </w:pPr>
      <w:r>
        <w:rPr>
          <w:rFonts w:ascii="Arial" w:hAnsi="Arial" w:cs="Arial"/>
          <w:i/>
        </w:rPr>
        <w:t>Drechtsteden</w:t>
      </w:r>
    </w:p>
    <w:p w14:paraId="4B50F983" w14:textId="241EFF6B" w:rsidR="007E434D" w:rsidRDefault="008B70AA" w:rsidP="007E434D">
      <w:pPr>
        <w:rPr>
          <w:rFonts w:ascii="Arial" w:hAnsi="Arial" w:cs="Arial"/>
        </w:rPr>
      </w:pPr>
      <w:r w:rsidRPr="00153E8A">
        <w:rPr>
          <w:rFonts w:ascii="Arial" w:hAnsi="Arial" w:cs="Arial"/>
        </w:rPr>
        <w:t xml:space="preserve">In het </w:t>
      </w:r>
      <w:r w:rsidR="00B02561">
        <w:rPr>
          <w:rFonts w:ascii="Arial" w:hAnsi="Arial" w:cs="Arial"/>
        </w:rPr>
        <w:t>3</w:t>
      </w:r>
      <w:r w:rsidR="00B02561" w:rsidRPr="00B02561">
        <w:rPr>
          <w:rFonts w:ascii="Arial" w:hAnsi="Arial" w:cs="Arial"/>
          <w:vertAlign w:val="superscript"/>
        </w:rPr>
        <w:t>e</w:t>
      </w:r>
      <w:r w:rsidRPr="00153E8A">
        <w:rPr>
          <w:rFonts w:ascii="Arial" w:hAnsi="Arial" w:cs="Arial"/>
        </w:rPr>
        <w:t xml:space="preserve"> kwartaal</w:t>
      </w:r>
      <w:r w:rsidR="007E434D">
        <w:rPr>
          <w:rFonts w:ascii="Arial" w:hAnsi="Arial" w:cs="Arial"/>
        </w:rPr>
        <w:t xml:space="preserve"> van 2016</w:t>
      </w:r>
      <w:r w:rsidRPr="00153E8A">
        <w:rPr>
          <w:rFonts w:ascii="Arial" w:hAnsi="Arial" w:cs="Arial"/>
        </w:rPr>
        <w:t xml:space="preserve"> is de groei van het aantal nieuw ontstane vacatures teruggevallen. Wel stonden er eind augustus weer meer vacatures open dan eind mei. De terugval in nieuwe vacatures is voor de uitstroom uit de bijstand en beperking van de instroom vanuit de WW</w:t>
      </w:r>
      <w:r w:rsidR="00921CE1">
        <w:rPr>
          <w:rFonts w:ascii="Arial" w:hAnsi="Arial" w:cs="Arial"/>
        </w:rPr>
        <w:t xml:space="preserve"> (11% van de totale instroom in het 3</w:t>
      </w:r>
      <w:r w:rsidR="00921CE1" w:rsidRPr="000750C4">
        <w:rPr>
          <w:rFonts w:ascii="Arial" w:hAnsi="Arial" w:cs="Arial"/>
          <w:vertAlign w:val="superscript"/>
        </w:rPr>
        <w:t>e</w:t>
      </w:r>
      <w:r w:rsidR="00921CE1">
        <w:rPr>
          <w:rFonts w:ascii="Arial" w:hAnsi="Arial" w:cs="Arial"/>
        </w:rPr>
        <w:t xml:space="preserve"> kwartaal</w:t>
      </w:r>
      <w:r w:rsidRPr="00153E8A">
        <w:rPr>
          <w:rFonts w:ascii="Arial" w:hAnsi="Arial" w:cs="Arial"/>
        </w:rPr>
        <w:t>) natuurlijk niet gunstig. Wat dat betreft is de toename van de uitstroom naar werk extra verheugend te noemen</w:t>
      </w:r>
      <w:r w:rsidR="00494A82">
        <w:rPr>
          <w:rFonts w:ascii="Arial" w:hAnsi="Arial" w:cs="Arial"/>
        </w:rPr>
        <w:t xml:space="preserve"> (uitstroom naar werk in 3</w:t>
      </w:r>
      <w:r w:rsidR="00494A82" w:rsidRPr="00494A82">
        <w:rPr>
          <w:rFonts w:ascii="Arial" w:hAnsi="Arial" w:cs="Arial"/>
          <w:vertAlign w:val="superscript"/>
        </w:rPr>
        <w:t>e</w:t>
      </w:r>
      <w:r w:rsidR="00494A82">
        <w:rPr>
          <w:rFonts w:ascii="Arial" w:hAnsi="Arial" w:cs="Arial"/>
        </w:rPr>
        <w:t xml:space="preserve"> kwartaal = 27% van de totale uitstroom)</w:t>
      </w:r>
      <w:r w:rsidRPr="00153E8A">
        <w:rPr>
          <w:rFonts w:ascii="Arial" w:hAnsi="Arial" w:cs="Arial"/>
        </w:rPr>
        <w:t>. Het bijstandsvolume blijft echter onder druk staan van een</w:t>
      </w:r>
      <w:r w:rsidR="007E434D">
        <w:rPr>
          <w:rFonts w:ascii="Arial" w:hAnsi="Arial" w:cs="Arial"/>
        </w:rPr>
        <w:t xml:space="preserve"> groeiend aantal statushouders. De sterk verhoogde taakstelling voor het huisvesten van asielzoekers met een verblijfsstatus in de Drechtsteden draagt bij aan de groei van het bestand</w:t>
      </w:r>
      <w:r w:rsidR="00DB4534">
        <w:rPr>
          <w:rFonts w:ascii="Arial" w:hAnsi="Arial" w:cs="Arial"/>
        </w:rPr>
        <w:t>, o</w:t>
      </w:r>
      <w:r w:rsidR="007E434D">
        <w:rPr>
          <w:rFonts w:ascii="Arial" w:hAnsi="Arial" w:cs="Arial"/>
        </w:rPr>
        <w:t xml:space="preserve">ngeveer </w:t>
      </w:r>
      <w:r w:rsidR="000E56F4">
        <w:rPr>
          <w:rFonts w:ascii="Arial" w:hAnsi="Arial" w:cs="Arial"/>
        </w:rPr>
        <w:t>21%</w:t>
      </w:r>
      <w:r w:rsidR="007E434D">
        <w:rPr>
          <w:rFonts w:ascii="Arial" w:hAnsi="Arial" w:cs="Arial"/>
        </w:rPr>
        <w:t xml:space="preserve"> van de groei </w:t>
      </w:r>
      <w:r w:rsidR="000E56F4">
        <w:rPr>
          <w:rFonts w:ascii="Arial" w:hAnsi="Arial" w:cs="Arial"/>
        </w:rPr>
        <w:t>in het 3</w:t>
      </w:r>
      <w:r w:rsidR="000E56F4" w:rsidRPr="00B02561">
        <w:rPr>
          <w:rFonts w:ascii="Arial" w:hAnsi="Arial" w:cs="Arial"/>
          <w:vertAlign w:val="superscript"/>
        </w:rPr>
        <w:t>e</w:t>
      </w:r>
      <w:r w:rsidR="000E56F4">
        <w:rPr>
          <w:rFonts w:ascii="Arial" w:hAnsi="Arial" w:cs="Arial"/>
        </w:rPr>
        <w:t xml:space="preserve"> kwartaal </w:t>
      </w:r>
      <w:r w:rsidR="007E434D">
        <w:rPr>
          <w:rFonts w:ascii="Arial" w:hAnsi="Arial" w:cs="Arial"/>
        </w:rPr>
        <w:t>is te verklaren door instroom van deze groep</w:t>
      </w:r>
      <w:r w:rsidR="00E04867">
        <w:rPr>
          <w:rFonts w:ascii="Arial" w:hAnsi="Arial" w:cs="Arial"/>
        </w:rPr>
        <w:t>.</w:t>
      </w:r>
    </w:p>
    <w:p w14:paraId="6AA68D0A" w14:textId="77777777" w:rsidR="00B02561" w:rsidRDefault="00B02561" w:rsidP="007E434D">
      <w:pPr>
        <w:rPr>
          <w:rFonts w:ascii="Arial" w:hAnsi="Arial" w:cs="Arial"/>
        </w:rPr>
      </w:pPr>
    </w:p>
    <w:p w14:paraId="1E4AA381" w14:textId="085E4A1C" w:rsidR="0086353E" w:rsidRDefault="00B02561" w:rsidP="0086353E">
      <w:pPr>
        <w:rPr>
          <w:rFonts w:ascii="Arial" w:hAnsi="Arial" w:cs="Arial"/>
        </w:rPr>
      </w:pPr>
      <w:r>
        <w:rPr>
          <w:rFonts w:ascii="Arial" w:hAnsi="Arial" w:cs="Arial"/>
        </w:rPr>
        <w:t>Als we de ontwikkelingen in het 3</w:t>
      </w:r>
      <w:r w:rsidRPr="00B02561">
        <w:rPr>
          <w:rFonts w:ascii="Arial" w:hAnsi="Arial" w:cs="Arial"/>
          <w:vertAlign w:val="superscript"/>
        </w:rPr>
        <w:t>e</w:t>
      </w:r>
      <w:r>
        <w:rPr>
          <w:rFonts w:ascii="Arial" w:hAnsi="Arial" w:cs="Arial"/>
        </w:rPr>
        <w:t xml:space="preserve"> kwartaal in perspectief plaatsen</w:t>
      </w:r>
      <w:r w:rsidR="0086353E" w:rsidRPr="0086353E">
        <w:t xml:space="preserve"> </w:t>
      </w:r>
      <w:r w:rsidR="0086353E">
        <w:t>valt op dat v</w:t>
      </w:r>
      <w:r w:rsidR="0086353E" w:rsidRPr="0086353E">
        <w:rPr>
          <w:rFonts w:ascii="Arial" w:hAnsi="Arial" w:cs="Arial"/>
        </w:rPr>
        <w:t>ergeleken met het vorige kwartaal (</w:t>
      </w:r>
      <w:r w:rsidR="0086353E">
        <w:rPr>
          <w:rFonts w:ascii="Arial" w:hAnsi="Arial" w:cs="Arial"/>
        </w:rPr>
        <w:t>2</w:t>
      </w:r>
      <w:r w:rsidR="0086353E" w:rsidRPr="00B02561">
        <w:rPr>
          <w:rFonts w:ascii="Arial" w:hAnsi="Arial" w:cs="Arial"/>
          <w:vertAlign w:val="superscript"/>
        </w:rPr>
        <w:t>e</w:t>
      </w:r>
      <w:r w:rsidR="0086353E" w:rsidRPr="0086353E">
        <w:rPr>
          <w:rFonts w:ascii="Arial" w:hAnsi="Arial" w:cs="Arial"/>
        </w:rPr>
        <w:t xml:space="preserve"> kwartaal 2016) we vooral positieve ontwikkelingen</w:t>
      </w:r>
      <w:r w:rsidR="0086353E">
        <w:rPr>
          <w:rFonts w:ascii="Arial" w:hAnsi="Arial" w:cs="Arial"/>
        </w:rPr>
        <w:t xml:space="preserve"> zien</w:t>
      </w:r>
      <w:r w:rsidR="0086353E" w:rsidRPr="0086353E">
        <w:rPr>
          <w:rFonts w:ascii="Arial" w:hAnsi="Arial" w:cs="Arial"/>
        </w:rPr>
        <w:t>: minder meldingen aan de poort, een preventiequotum dat op peil is en meer uitstroom</w:t>
      </w:r>
      <w:r w:rsidR="00C43544">
        <w:rPr>
          <w:rFonts w:ascii="Arial" w:hAnsi="Arial" w:cs="Arial"/>
        </w:rPr>
        <w:t xml:space="preserve">. </w:t>
      </w:r>
      <w:r w:rsidR="00E95AF4" w:rsidRPr="004E6F39">
        <w:rPr>
          <w:rFonts w:ascii="Arial" w:hAnsi="Arial" w:cs="Arial"/>
        </w:rPr>
        <w:t>Het bestand in de Drechtsteden is hierdoor in september voor het eerst in 2016 afgenomen (- 0,5%). De groei ten opzichte van het begin van 2016 ligt nu op 5,0%.</w:t>
      </w:r>
    </w:p>
    <w:p w14:paraId="69C2717C" w14:textId="77777777" w:rsidR="004E6F39" w:rsidRPr="004E6F39" w:rsidRDefault="004E6F39" w:rsidP="0086353E">
      <w:pPr>
        <w:rPr>
          <w:rFonts w:ascii="Arial" w:hAnsi="Arial" w:cs="Arial"/>
        </w:rPr>
      </w:pPr>
    </w:p>
    <w:p w14:paraId="1311F1B1" w14:textId="433CBCCA" w:rsidR="007E434D" w:rsidRDefault="0086353E" w:rsidP="0086353E">
      <w:pPr>
        <w:rPr>
          <w:rFonts w:ascii="Arial" w:hAnsi="Arial" w:cs="Arial"/>
        </w:rPr>
      </w:pPr>
      <w:r w:rsidRPr="0086353E">
        <w:rPr>
          <w:rFonts w:ascii="Arial" w:hAnsi="Arial" w:cs="Arial"/>
        </w:rPr>
        <w:t>Vergeleken met hetzelfde kwartaal van een jaar eerder (</w:t>
      </w:r>
      <w:r>
        <w:rPr>
          <w:rFonts w:ascii="Arial" w:hAnsi="Arial" w:cs="Arial"/>
        </w:rPr>
        <w:t>3</w:t>
      </w:r>
      <w:r w:rsidRPr="00B02561">
        <w:rPr>
          <w:rFonts w:ascii="Arial" w:hAnsi="Arial" w:cs="Arial"/>
          <w:vertAlign w:val="superscript"/>
        </w:rPr>
        <w:t>e</w:t>
      </w:r>
      <w:r w:rsidRPr="0086353E">
        <w:rPr>
          <w:rFonts w:ascii="Arial" w:hAnsi="Arial" w:cs="Arial"/>
        </w:rPr>
        <w:t xml:space="preserve"> kwartaal 2015) zien we</w:t>
      </w:r>
      <w:r w:rsidR="00E04867">
        <w:rPr>
          <w:rFonts w:ascii="Arial" w:hAnsi="Arial" w:cs="Arial"/>
        </w:rPr>
        <w:t xml:space="preserve">, </w:t>
      </w:r>
      <w:r w:rsidRPr="0086353E">
        <w:rPr>
          <w:rFonts w:ascii="Arial" w:hAnsi="Arial" w:cs="Arial"/>
        </w:rPr>
        <w:t>mede door de groei in statushouders</w:t>
      </w:r>
      <w:r w:rsidR="00E04867">
        <w:rPr>
          <w:rFonts w:ascii="Arial" w:hAnsi="Arial" w:cs="Arial"/>
        </w:rPr>
        <w:t xml:space="preserve">, </w:t>
      </w:r>
      <w:r w:rsidRPr="0086353E">
        <w:rPr>
          <w:rFonts w:ascii="Arial" w:hAnsi="Arial" w:cs="Arial"/>
        </w:rPr>
        <w:t>meer meldingen aan de poort en daarmee nu een grotere instroom. Maar we zien ook meer afgehandelde meldingen en een grotere uitstroom, ook naar handhaving en werk.</w:t>
      </w:r>
    </w:p>
    <w:p w14:paraId="49607E81" w14:textId="77777777" w:rsidR="0086353E" w:rsidRDefault="0086353E" w:rsidP="008B70AA">
      <w:pPr>
        <w:rPr>
          <w:rFonts w:ascii="Arial" w:hAnsi="Arial" w:cs="Arial"/>
        </w:rPr>
      </w:pPr>
    </w:p>
    <w:p w14:paraId="76F6C5EB" w14:textId="106E66EC" w:rsidR="008B70AA" w:rsidRDefault="00DB4534" w:rsidP="008B70AA">
      <w:pPr>
        <w:rPr>
          <w:rFonts w:ascii="Arial" w:hAnsi="Arial" w:cs="Arial"/>
        </w:rPr>
      </w:pPr>
      <w:r>
        <w:rPr>
          <w:rFonts w:ascii="Arial" w:hAnsi="Arial" w:cs="Arial"/>
        </w:rPr>
        <w:t xml:space="preserve">Andere oorzaken voor de toename van het bijstandsvolume zijn </w:t>
      </w:r>
      <w:r w:rsidR="008B70AA" w:rsidRPr="00153E8A">
        <w:rPr>
          <w:rFonts w:ascii="Arial" w:hAnsi="Arial" w:cs="Arial"/>
        </w:rPr>
        <w:t>de instroom van nieuwe</w:t>
      </w:r>
      <w:r w:rsidR="00B02561">
        <w:rPr>
          <w:rFonts w:ascii="Arial" w:hAnsi="Arial" w:cs="Arial"/>
        </w:rPr>
        <w:t xml:space="preserve"> groepen uit de Participatiewet</w:t>
      </w:r>
      <w:r w:rsidR="008B70AA" w:rsidRPr="00153E8A">
        <w:rPr>
          <w:rFonts w:ascii="Arial" w:hAnsi="Arial" w:cs="Arial"/>
        </w:rPr>
        <w:t xml:space="preserve"> en het opschuiven van de AOW-leeftijd. De ontwikkeling in de WW is op zich wel relatief gunstig: zowel de instroom</w:t>
      </w:r>
      <w:r w:rsidR="00921CE1">
        <w:rPr>
          <w:rFonts w:ascii="Arial" w:hAnsi="Arial" w:cs="Arial"/>
        </w:rPr>
        <w:t xml:space="preserve"> </w:t>
      </w:r>
      <w:r w:rsidR="008B70AA" w:rsidRPr="00153E8A">
        <w:rPr>
          <w:rFonts w:ascii="Arial" w:hAnsi="Arial" w:cs="Arial"/>
        </w:rPr>
        <w:t>als het totale WW-volume zijn verder gedaald.</w:t>
      </w:r>
      <w:r w:rsidR="00D7411A">
        <w:rPr>
          <w:rFonts w:ascii="Arial" w:hAnsi="Arial" w:cs="Arial"/>
        </w:rPr>
        <w:t xml:space="preserve"> </w:t>
      </w:r>
      <w:r w:rsidR="00D7411A" w:rsidRPr="00D7411A">
        <w:rPr>
          <w:rFonts w:ascii="Arial" w:hAnsi="Arial" w:cs="Arial"/>
        </w:rPr>
        <w:t xml:space="preserve">De daling </w:t>
      </w:r>
      <w:r w:rsidR="00D7411A">
        <w:rPr>
          <w:rFonts w:ascii="Arial" w:hAnsi="Arial" w:cs="Arial"/>
        </w:rPr>
        <w:t xml:space="preserve">van de instroom in de WW </w:t>
      </w:r>
      <w:r w:rsidR="00D7411A" w:rsidRPr="00D7411A">
        <w:rPr>
          <w:rFonts w:ascii="Arial" w:hAnsi="Arial" w:cs="Arial"/>
        </w:rPr>
        <w:t>in het afgelopen jaar in de regio Drechtsteden</w:t>
      </w:r>
      <w:r w:rsidR="00D7411A">
        <w:rPr>
          <w:rFonts w:ascii="Arial" w:hAnsi="Arial" w:cs="Arial"/>
        </w:rPr>
        <w:t xml:space="preserve"> (-5%)</w:t>
      </w:r>
      <w:r w:rsidR="00D7411A" w:rsidRPr="00D7411A">
        <w:rPr>
          <w:rFonts w:ascii="Arial" w:hAnsi="Arial" w:cs="Arial"/>
        </w:rPr>
        <w:t xml:space="preserve"> is </w:t>
      </w:r>
      <w:r w:rsidR="00D7411A">
        <w:rPr>
          <w:rFonts w:ascii="Arial" w:hAnsi="Arial" w:cs="Arial"/>
        </w:rPr>
        <w:t xml:space="preserve">echter </w:t>
      </w:r>
      <w:r w:rsidR="00D7411A" w:rsidRPr="00D7411A">
        <w:rPr>
          <w:rFonts w:ascii="Arial" w:hAnsi="Arial" w:cs="Arial"/>
        </w:rPr>
        <w:t>minder sterk dan de landelijke daling van 9%</w:t>
      </w:r>
      <w:r w:rsidR="00D7411A">
        <w:rPr>
          <w:rStyle w:val="Voetnootmarkering"/>
          <w:rFonts w:ascii="Arial" w:hAnsi="Arial" w:cs="Arial"/>
        </w:rPr>
        <w:footnoteReference w:id="2"/>
      </w:r>
      <w:r w:rsidR="00D7411A" w:rsidRPr="00D7411A">
        <w:rPr>
          <w:rFonts w:ascii="Arial" w:hAnsi="Arial" w:cs="Arial"/>
        </w:rPr>
        <w:t>.</w:t>
      </w:r>
      <w:r w:rsidR="00B651E2" w:rsidRPr="00B651E2">
        <w:rPr>
          <w:rFonts w:ascii="Verdana" w:hAnsi="Verdana"/>
          <w:sz w:val="16"/>
          <w:szCs w:val="16"/>
        </w:rPr>
        <w:t xml:space="preserve"> </w:t>
      </w:r>
    </w:p>
    <w:p w14:paraId="38B86560" w14:textId="77777777" w:rsidR="00554EFD" w:rsidRDefault="00554EFD" w:rsidP="008B70AA">
      <w:pPr>
        <w:rPr>
          <w:rFonts w:ascii="Arial" w:hAnsi="Arial" w:cs="Arial"/>
        </w:rPr>
      </w:pPr>
    </w:p>
    <w:p w14:paraId="1515D4C4" w14:textId="560686A0" w:rsidR="00554EFD" w:rsidRDefault="00554EFD" w:rsidP="008B70AA">
      <w:pPr>
        <w:rPr>
          <w:rFonts w:ascii="Arial" w:hAnsi="Arial" w:cs="Arial"/>
        </w:rPr>
      </w:pPr>
      <w:r>
        <w:rPr>
          <w:rFonts w:ascii="Arial" w:hAnsi="Arial" w:cs="Arial"/>
        </w:rPr>
        <w:t>Opvallend is dat de instroom in de tweede periode voor meer dan de helft betrekking h</w:t>
      </w:r>
      <w:r w:rsidR="000E56F4">
        <w:rPr>
          <w:rFonts w:ascii="Arial" w:hAnsi="Arial" w:cs="Arial"/>
        </w:rPr>
        <w:t>eeft op mensen met een verwacht</w:t>
      </w:r>
      <w:r>
        <w:rPr>
          <w:rFonts w:ascii="Arial" w:hAnsi="Arial" w:cs="Arial"/>
        </w:rPr>
        <w:t>e loonwaarde van 80-100%. Voor die groep wordt een relatief snellere uitstroom dan gemiddeld verwacht</w:t>
      </w:r>
      <w:r w:rsidR="00E40359">
        <w:rPr>
          <w:rFonts w:ascii="Arial" w:hAnsi="Arial" w:cs="Arial"/>
        </w:rPr>
        <w:t xml:space="preserve"> (zie tabel 2)</w:t>
      </w:r>
      <w:r>
        <w:rPr>
          <w:rFonts w:ascii="Arial" w:hAnsi="Arial" w:cs="Arial"/>
        </w:rPr>
        <w:t>.</w:t>
      </w:r>
    </w:p>
    <w:p w14:paraId="0A45DEEB" w14:textId="77777777" w:rsidR="00B31379" w:rsidRDefault="00B31379" w:rsidP="008B70AA">
      <w:pPr>
        <w:rPr>
          <w:rFonts w:ascii="Arial" w:hAnsi="Arial" w:cs="Arial"/>
        </w:rPr>
      </w:pPr>
    </w:p>
    <w:p w14:paraId="1543BC1F" w14:textId="14A56EE4" w:rsidR="004B1FAD" w:rsidRDefault="004B1FAD">
      <w:pPr>
        <w:spacing w:after="160" w:line="259" w:lineRule="auto"/>
        <w:rPr>
          <w:b/>
        </w:rPr>
      </w:pPr>
      <w:r>
        <w:rPr>
          <w:b/>
        </w:rPr>
        <w:br w:type="page"/>
      </w:r>
    </w:p>
    <w:p w14:paraId="35859019" w14:textId="091C144E" w:rsidR="00B31379" w:rsidRPr="005120B3" w:rsidRDefault="00B31379" w:rsidP="00B31379">
      <w:pPr>
        <w:rPr>
          <w:rFonts w:ascii="Arial" w:hAnsi="Arial" w:cs="Arial"/>
          <w:b/>
        </w:rPr>
      </w:pPr>
      <w:r w:rsidRPr="005120B3">
        <w:rPr>
          <w:rFonts w:ascii="Arial" w:hAnsi="Arial" w:cs="Arial"/>
          <w:b/>
        </w:rPr>
        <w:lastRenderedPageBreak/>
        <w:t xml:space="preserve">1.3 </w:t>
      </w:r>
      <w:r w:rsidRPr="005120B3">
        <w:rPr>
          <w:rFonts w:ascii="Arial" w:hAnsi="Arial" w:cs="Arial"/>
          <w:b/>
        </w:rPr>
        <w:tab/>
      </w:r>
      <w:r w:rsidR="00291FD7" w:rsidRPr="005120B3">
        <w:rPr>
          <w:rFonts w:ascii="Arial" w:hAnsi="Arial" w:cs="Arial"/>
          <w:b/>
        </w:rPr>
        <w:t>V</w:t>
      </w:r>
      <w:r w:rsidRPr="005120B3">
        <w:rPr>
          <w:rFonts w:ascii="Arial" w:hAnsi="Arial" w:cs="Arial"/>
          <w:b/>
        </w:rPr>
        <w:t>erwachte ontwikkeling Drechtstedenbestand</w:t>
      </w:r>
    </w:p>
    <w:p w14:paraId="244DDC41" w14:textId="060131E2" w:rsidR="004E6F39" w:rsidRPr="00135250" w:rsidRDefault="004E6F39" w:rsidP="00B31379">
      <w:pPr>
        <w:autoSpaceDE w:val="0"/>
        <w:autoSpaceDN w:val="0"/>
        <w:rPr>
          <w:rFonts w:ascii="Arial" w:hAnsi="Arial" w:cs="Arial"/>
        </w:rPr>
      </w:pPr>
      <w:r w:rsidRPr="00135250">
        <w:rPr>
          <w:rFonts w:ascii="Arial" w:hAnsi="Arial" w:cs="Arial"/>
        </w:rPr>
        <w:t>Zoals eerder opgemerkt is in het 3</w:t>
      </w:r>
      <w:r w:rsidRPr="00135250">
        <w:rPr>
          <w:rFonts w:ascii="Arial" w:hAnsi="Arial" w:cs="Arial"/>
          <w:vertAlign w:val="superscript"/>
        </w:rPr>
        <w:t>e</w:t>
      </w:r>
      <w:r w:rsidRPr="00135250">
        <w:rPr>
          <w:rFonts w:ascii="Arial" w:hAnsi="Arial" w:cs="Arial"/>
        </w:rPr>
        <w:t xml:space="preserve"> kwartaal het Drechtstedenbestand voor het eerst in 2016 licht afgenomen, ten opzichte van begin 2016 is de bestandstoename echter 5%. Op grond van de informatie van het CPB verwachten wij voor de komende jaren nog een toename van het bestand. </w:t>
      </w:r>
    </w:p>
    <w:p w14:paraId="76E36D09" w14:textId="77777777" w:rsidR="004E6F39" w:rsidRPr="00135250" w:rsidRDefault="004E6F39" w:rsidP="00B31379">
      <w:pPr>
        <w:autoSpaceDE w:val="0"/>
        <w:autoSpaceDN w:val="0"/>
        <w:rPr>
          <w:rFonts w:ascii="Arial" w:hAnsi="Arial" w:cs="Arial"/>
        </w:rPr>
      </w:pPr>
    </w:p>
    <w:p w14:paraId="5F2CA1FB" w14:textId="704DE824" w:rsidR="00B31379" w:rsidRPr="00135250" w:rsidRDefault="004E6F39" w:rsidP="00B31379">
      <w:pPr>
        <w:autoSpaceDE w:val="0"/>
        <w:autoSpaceDN w:val="0"/>
        <w:rPr>
          <w:rFonts w:ascii="Arial" w:hAnsi="Arial" w:cs="Arial"/>
        </w:rPr>
      </w:pPr>
      <w:r w:rsidRPr="00135250">
        <w:rPr>
          <w:rFonts w:ascii="Arial" w:hAnsi="Arial" w:cs="Arial"/>
        </w:rPr>
        <w:t xml:space="preserve">Voor 2017 </w:t>
      </w:r>
      <w:r w:rsidR="00B31379" w:rsidRPr="00135250">
        <w:rPr>
          <w:rFonts w:ascii="Arial" w:hAnsi="Arial" w:cs="Arial"/>
        </w:rPr>
        <w:t>streven</w:t>
      </w:r>
      <w:r w:rsidRPr="00135250">
        <w:rPr>
          <w:rFonts w:ascii="Arial" w:hAnsi="Arial" w:cs="Arial"/>
        </w:rPr>
        <w:t xml:space="preserve"> wij</w:t>
      </w:r>
      <w:r w:rsidR="00B31379" w:rsidRPr="00135250">
        <w:rPr>
          <w:rFonts w:ascii="Arial" w:hAnsi="Arial" w:cs="Arial"/>
        </w:rPr>
        <w:t xml:space="preserve"> naar zoveel mogelijk inwoners zo veel mogelijk aan het werk</w:t>
      </w:r>
      <w:r w:rsidRPr="00135250">
        <w:rPr>
          <w:rFonts w:ascii="Arial" w:hAnsi="Arial" w:cs="Arial"/>
        </w:rPr>
        <w:t xml:space="preserve">. </w:t>
      </w:r>
      <w:r w:rsidR="00B31379" w:rsidRPr="00135250">
        <w:rPr>
          <w:rFonts w:ascii="Arial" w:hAnsi="Arial" w:cs="Arial"/>
        </w:rPr>
        <w:t>Van een sterke opleving van de economie is in 2017 geen sprake. De daling van de werkloosheid gaat langzaam, doordat niet alleen de werkgelegenheid, maar ook het arbeidsaanbod stijgt. Het arbeidsaanbod groeit voornamelijk door de stijging van de participatie door vrouwen en vijftigplussers. Daarnaast is er instroom van voormalige Wajongers</w:t>
      </w:r>
      <w:r w:rsidR="0086353E" w:rsidRPr="00135250">
        <w:rPr>
          <w:rFonts w:ascii="Arial" w:hAnsi="Arial" w:cs="Arial"/>
        </w:rPr>
        <w:t xml:space="preserve"> (In Q3 2015 was het aandeel van jongeren &lt;23 jaar in de instroom 9%, in Q3 2016 lag dit op ongeveer 13%)</w:t>
      </w:r>
      <w:r w:rsidR="00B31379" w:rsidRPr="00135250">
        <w:rPr>
          <w:rFonts w:ascii="Arial" w:hAnsi="Arial" w:cs="Arial"/>
        </w:rPr>
        <w:t xml:space="preserve"> en is er de taakstelling statushouders die stevig drukt op de instroom op ons uitkeringsbestand. Toch is onze ambitie ons bestand </w:t>
      </w:r>
      <w:r w:rsidR="00D81ADC" w:rsidRPr="00135250">
        <w:rPr>
          <w:rFonts w:ascii="Arial" w:hAnsi="Arial" w:cs="Arial"/>
        </w:rPr>
        <w:t xml:space="preserve">slechts </w:t>
      </w:r>
      <w:r w:rsidR="00B31379" w:rsidRPr="00135250">
        <w:rPr>
          <w:rFonts w:ascii="Arial" w:hAnsi="Arial" w:cs="Arial"/>
        </w:rPr>
        <w:t xml:space="preserve">beperkt </w:t>
      </w:r>
      <w:r w:rsidR="00D81ADC" w:rsidRPr="00135250">
        <w:rPr>
          <w:rFonts w:ascii="Arial" w:hAnsi="Arial" w:cs="Arial"/>
        </w:rPr>
        <w:t xml:space="preserve">te </w:t>
      </w:r>
      <w:r w:rsidR="00B31379" w:rsidRPr="00135250">
        <w:rPr>
          <w:rFonts w:ascii="Arial" w:hAnsi="Arial" w:cs="Arial"/>
        </w:rPr>
        <w:t>laten groeien naar maximaal 7000 inwoners. We zetten onder andere in op duurzame uitstroom via detachering van inwoners, en op een sterkere werkgeversdienstverlening door samenwerking met het UWV</w:t>
      </w:r>
      <w:r w:rsidR="00554EFD" w:rsidRPr="00135250">
        <w:rPr>
          <w:rFonts w:ascii="Arial" w:hAnsi="Arial" w:cs="Arial"/>
        </w:rPr>
        <w:t>.</w:t>
      </w:r>
      <w:r w:rsidR="00B31379" w:rsidRPr="00135250">
        <w:rPr>
          <w:rFonts w:ascii="Arial" w:hAnsi="Arial" w:cs="Arial"/>
        </w:rPr>
        <w:t xml:space="preserve"> Daarnaast ontwikkelen we nieuw beleid op onder andere het gebied van parttime-ondernemen, sociaal ondernemen en het invullen van de arbeidsverplichting. We leveren maatwerk om de match met de arbeidsmarkt te verbeteren en dus uitstroom te bevorderen. </w:t>
      </w:r>
    </w:p>
    <w:p w14:paraId="4E4EF3B9" w14:textId="77777777" w:rsidR="00B31379" w:rsidRPr="00B31379" w:rsidRDefault="00B31379" w:rsidP="00B31379">
      <w:pPr>
        <w:autoSpaceDE w:val="0"/>
        <w:autoSpaceDN w:val="0"/>
        <w:rPr>
          <w:rFonts w:cs="Arial"/>
        </w:rPr>
      </w:pPr>
    </w:p>
    <w:p w14:paraId="327909D0" w14:textId="45F20ED7" w:rsidR="008B70AA" w:rsidRPr="00153E8A" w:rsidRDefault="008B70AA" w:rsidP="008B70AA">
      <w:pPr>
        <w:rPr>
          <w:rFonts w:ascii="Arial" w:hAnsi="Arial" w:cs="Arial"/>
          <w:b/>
        </w:rPr>
      </w:pPr>
      <w:r>
        <w:rPr>
          <w:rFonts w:ascii="Arial" w:hAnsi="Arial" w:cs="Arial"/>
          <w:b/>
        </w:rPr>
        <w:t>1.</w:t>
      </w:r>
      <w:r w:rsidR="00010082">
        <w:rPr>
          <w:rFonts w:ascii="Arial" w:hAnsi="Arial" w:cs="Arial"/>
          <w:b/>
        </w:rPr>
        <w:t>4</w:t>
      </w:r>
      <w:r>
        <w:rPr>
          <w:rFonts w:ascii="Arial" w:hAnsi="Arial" w:cs="Arial"/>
          <w:b/>
        </w:rPr>
        <w:tab/>
      </w:r>
      <w:r w:rsidR="00291FD7">
        <w:rPr>
          <w:rFonts w:ascii="Arial" w:hAnsi="Arial" w:cs="Arial"/>
          <w:b/>
        </w:rPr>
        <w:t>Ontwikkeling bestand Alblasserdam</w:t>
      </w:r>
    </w:p>
    <w:p w14:paraId="687A43CE" w14:textId="0CE98F4D" w:rsidR="008B70AA" w:rsidRDefault="008B70AA" w:rsidP="008B70AA">
      <w:pPr>
        <w:rPr>
          <w:rFonts w:ascii="Arial" w:hAnsi="Arial" w:cs="Arial"/>
        </w:rPr>
      </w:pPr>
      <w:r w:rsidRPr="00153E8A">
        <w:rPr>
          <w:rFonts w:ascii="Arial" w:hAnsi="Arial" w:cs="Arial"/>
        </w:rPr>
        <w:t xml:space="preserve">In </w:t>
      </w:r>
      <w:r>
        <w:rPr>
          <w:rFonts w:ascii="Arial" w:hAnsi="Arial" w:cs="Arial"/>
        </w:rPr>
        <w:t xml:space="preserve">Alblasserdam is er </w:t>
      </w:r>
      <w:r w:rsidR="00291FD7">
        <w:rPr>
          <w:rFonts w:ascii="Arial" w:hAnsi="Arial" w:cs="Arial"/>
        </w:rPr>
        <w:t xml:space="preserve">berekend tot en met </w:t>
      </w:r>
      <w:r w:rsidR="00421C76">
        <w:rPr>
          <w:rFonts w:ascii="Arial" w:hAnsi="Arial" w:cs="Arial"/>
        </w:rPr>
        <w:t>oktober</w:t>
      </w:r>
      <w:r w:rsidR="00291FD7">
        <w:rPr>
          <w:rFonts w:ascii="Arial" w:hAnsi="Arial" w:cs="Arial"/>
        </w:rPr>
        <w:t xml:space="preserve"> </w:t>
      </w:r>
      <w:r w:rsidR="00C23B16">
        <w:rPr>
          <w:rFonts w:ascii="Arial" w:hAnsi="Arial" w:cs="Arial"/>
        </w:rPr>
        <w:t xml:space="preserve">2016 </w:t>
      </w:r>
      <w:r>
        <w:rPr>
          <w:rFonts w:ascii="Arial" w:hAnsi="Arial" w:cs="Arial"/>
        </w:rPr>
        <w:t>sprake van een stijging van het bestand</w:t>
      </w:r>
      <w:r w:rsidR="00291FD7">
        <w:rPr>
          <w:rFonts w:ascii="Arial" w:hAnsi="Arial" w:cs="Arial"/>
        </w:rPr>
        <w:t xml:space="preserve"> met 13%,</w:t>
      </w:r>
      <w:r w:rsidR="007251D5">
        <w:rPr>
          <w:rFonts w:ascii="Arial" w:hAnsi="Arial" w:cs="Arial"/>
        </w:rPr>
        <w:t xml:space="preserve"> vanaf augustus vlakt de stijging af.</w:t>
      </w:r>
      <w:r>
        <w:rPr>
          <w:rFonts w:ascii="Arial" w:hAnsi="Arial" w:cs="Arial"/>
        </w:rPr>
        <w:t xml:space="preserve"> De instroom is er voornamel</w:t>
      </w:r>
      <w:r w:rsidR="00291FD7">
        <w:rPr>
          <w:rFonts w:ascii="Arial" w:hAnsi="Arial" w:cs="Arial"/>
        </w:rPr>
        <w:t>ijk op de loonwaarde 80 tot 100%</w:t>
      </w:r>
      <w:r>
        <w:rPr>
          <w:rFonts w:ascii="Arial" w:hAnsi="Arial" w:cs="Arial"/>
        </w:rPr>
        <w:t>. Wel is het aandeel inwoners met een loonwaarde onder 80 procent aanzienlijk.</w:t>
      </w:r>
      <w:r w:rsidR="00554EFD">
        <w:rPr>
          <w:rFonts w:ascii="Arial" w:hAnsi="Arial" w:cs="Arial"/>
        </w:rPr>
        <w:t xml:space="preserve"> Een deel van de instroom wordt ook in Alblasserdam veroorzaakt door statushouders. Het aantal verstrekte uitkeringen</w:t>
      </w:r>
      <w:r w:rsidR="003C48E0">
        <w:rPr>
          <w:rFonts w:ascii="Arial" w:hAnsi="Arial" w:cs="Arial"/>
        </w:rPr>
        <w:t xml:space="preserve"> aan statushouders</w:t>
      </w:r>
      <w:r w:rsidR="00554EFD">
        <w:rPr>
          <w:rFonts w:ascii="Arial" w:hAnsi="Arial" w:cs="Arial"/>
        </w:rPr>
        <w:t xml:space="preserve"> is in de periode van juni 2016 tot </w:t>
      </w:r>
      <w:r w:rsidR="007A527C">
        <w:rPr>
          <w:rFonts w:ascii="Arial" w:hAnsi="Arial" w:cs="Arial"/>
        </w:rPr>
        <w:t>november</w:t>
      </w:r>
      <w:r w:rsidR="00554EFD">
        <w:rPr>
          <w:rFonts w:ascii="Arial" w:hAnsi="Arial" w:cs="Arial"/>
        </w:rPr>
        <w:t xml:space="preserve"> 2016 toegenomen van 34 naar </w:t>
      </w:r>
      <w:r w:rsidR="00421C76">
        <w:rPr>
          <w:rFonts w:ascii="Arial" w:hAnsi="Arial" w:cs="Arial"/>
        </w:rPr>
        <w:t>49</w:t>
      </w:r>
      <w:r w:rsidR="00554EFD">
        <w:rPr>
          <w:rFonts w:ascii="Arial" w:hAnsi="Arial" w:cs="Arial"/>
        </w:rPr>
        <w:t xml:space="preserve"> (toename </w:t>
      </w:r>
      <w:r w:rsidR="00421C76">
        <w:rPr>
          <w:rFonts w:ascii="Arial" w:hAnsi="Arial" w:cs="Arial"/>
        </w:rPr>
        <w:t>44</w:t>
      </w:r>
      <w:r w:rsidR="00554EFD">
        <w:rPr>
          <w:rFonts w:ascii="Arial" w:hAnsi="Arial" w:cs="Arial"/>
        </w:rPr>
        <w:t>%).</w:t>
      </w:r>
    </w:p>
    <w:p w14:paraId="35EE4C94" w14:textId="77777777" w:rsidR="00421C76" w:rsidRDefault="00421C76" w:rsidP="008B70AA">
      <w:pPr>
        <w:rPr>
          <w:rFonts w:ascii="Arial" w:hAnsi="Arial" w:cs="Arial"/>
        </w:rPr>
      </w:pPr>
    </w:p>
    <w:p w14:paraId="11FCA8DA" w14:textId="637077FB" w:rsidR="00421C76" w:rsidRDefault="00421C76" w:rsidP="008B70AA">
      <w:pPr>
        <w:rPr>
          <w:rFonts w:ascii="Arial" w:hAnsi="Arial" w:cs="Arial"/>
        </w:rPr>
      </w:pPr>
      <w:r>
        <w:rPr>
          <w:rFonts w:ascii="Arial" w:hAnsi="Arial" w:cs="Arial"/>
        </w:rPr>
        <w:t xml:space="preserve">Als gevolg van de toename van het bestand zal 2016 </w:t>
      </w:r>
      <w:r w:rsidR="00A72B5F">
        <w:rPr>
          <w:rFonts w:ascii="Arial" w:hAnsi="Arial" w:cs="Arial"/>
        </w:rPr>
        <w:t>op basis van de nu bekende gegevens worden afgesloten met een tekort van ruim € 700.000.</w:t>
      </w:r>
      <w:r w:rsidR="00A474DC">
        <w:rPr>
          <w:rFonts w:ascii="Arial" w:hAnsi="Arial" w:cs="Arial"/>
        </w:rPr>
        <w:t xml:space="preserve"> </w:t>
      </w:r>
      <w:r w:rsidR="00270914">
        <w:rPr>
          <w:rFonts w:ascii="Arial" w:hAnsi="Arial" w:cs="Arial"/>
        </w:rPr>
        <w:t xml:space="preserve">In bijlage 1 is de prognose van het tekort opgenomen. Tevens is op grond van informatie van het CPB een prognose opgesteld voor de jaren 2017 tot en met 2019. </w:t>
      </w:r>
    </w:p>
    <w:p w14:paraId="35882E79" w14:textId="77777777" w:rsidR="008B70AA" w:rsidRDefault="008B70AA" w:rsidP="008B70AA">
      <w:pPr>
        <w:rPr>
          <w:rFonts w:ascii="Arial" w:hAnsi="Arial" w:cs="Arial"/>
        </w:rPr>
      </w:pPr>
    </w:p>
    <w:p w14:paraId="167352DB" w14:textId="613E4E22" w:rsidR="006254A9" w:rsidRPr="00D24ED1" w:rsidRDefault="006254A9" w:rsidP="008B70AA">
      <w:pPr>
        <w:rPr>
          <w:rFonts w:ascii="Arial" w:hAnsi="Arial" w:cs="Arial"/>
          <w:b/>
        </w:rPr>
      </w:pPr>
      <w:r w:rsidRPr="00D24ED1">
        <w:rPr>
          <w:rFonts w:ascii="Arial" w:hAnsi="Arial" w:cs="Arial"/>
          <w:b/>
        </w:rPr>
        <w:t xml:space="preserve">Tabel 1: bestandsontwikkeling </w:t>
      </w:r>
    </w:p>
    <w:p w14:paraId="446B9C5E" w14:textId="77777777" w:rsidR="008B70AA" w:rsidRPr="00153E8A" w:rsidRDefault="008B70AA" w:rsidP="008B70AA">
      <w:pPr>
        <w:spacing w:after="160" w:line="259" w:lineRule="auto"/>
        <w:rPr>
          <w:rFonts w:ascii="Arial" w:hAnsi="Arial" w:cs="Arial"/>
          <w:b/>
          <w:i/>
        </w:rPr>
      </w:pPr>
      <w:r>
        <w:rPr>
          <w:noProof/>
        </w:rPr>
        <w:drawing>
          <wp:inline distT="0" distB="0" distL="0" distR="0" wp14:anchorId="7117EEC3" wp14:editId="51E120D7">
            <wp:extent cx="3838575" cy="2204114"/>
            <wp:effectExtent l="0" t="0" r="9525" b="5715"/>
            <wp:docPr id="7" name="Grafie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F5A95C4" w14:textId="77777777" w:rsidR="008B70AA" w:rsidRPr="00153E8A" w:rsidRDefault="008B70AA" w:rsidP="008B70AA">
      <w:pPr>
        <w:rPr>
          <w:rFonts w:ascii="Arial" w:hAnsi="Arial" w:cs="Arial"/>
          <w:b/>
          <w:i/>
        </w:rPr>
      </w:pPr>
    </w:p>
    <w:p w14:paraId="01307552" w14:textId="7CD4F9ED" w:rsidR="008B70AA" w:rsidRPr="006254A9" w:rsidRDefault="00D24ED1" w:rsidP="008B70AA">
      <w:pPr>
        <w:rPr>
          <w:rFonts w:ascii="Arial" w:hAnsi="Arial" w:cs="Arial"/>
          <w:b/>
        </w:rPr>
      </w:pPr>
      <w:r>
        <w:rPr>
          <w:rFonts w:ascii="Arial" w:hAnsi="Arial" w:cs="Arial"/>
          <w:b/>
        </w:rPr>
        <w:t>Tabel 2: instroom naar loonwaarde</w:t>
      </w:r>
    </w:p>
    <w:tbl>
      <w:tblPr>
        <w:tblW w:w="4678" w:type="dxa"/>
        <w:tblBorders>
          <w:top w:val="single" w:sz="4" w:space="0" w:color="auto"/>
          <w:bottom w:val="single" w:sz="4" w:space="0" w:color="auto"/>
          <w:insideH w:val="single" w:sz="4" w:space="0" w:color="auto"/>
        </w:tblBorders>
        <w:tblLook w:val="01E0" w:firstRow="1" w:lastRow="1" w:firstColumn="1" w:lastColumn="1" w:noHBand="0" w:noVBand="0"/>
      </w:tblPr>
      <w:tblGrid>
        <w:gridCol w:w="1777"/>
        <w:gridCol w:w="1342"/>
        <w:gridCol w:w="1559"/>
      </w:tblGrid>
      <w:tr w:rsidR="008B70AA" w:rsidRPr="00153E8A" w14:paraId="57D6A7D9" w14:textId="77777777" w:rsidTr="00452342">
        <w:trPr>
          <w:trHeight w:val="838"/>
        </w:trPr>
        <w:tc>
          <w:tcPr>
            <w:tcW w:w="1777" w:type="dxa"/>
            <w:tcBorders>
              <w:top w:val="single" w:sz="4" w:space="0" w:color="00A0D1"/>
              <w:bottom w:val="single" w:sz="4" w:space="0" w:color="00A0D1"/>
              <w:right w:val="single" w:sz="4" w:space="0" w:color="FFFFFF"/>
            </w:tcBorders>
            <w:shd w:val="clear" w:color="auto" w:fill="00A0D1"/>
            <w:vAlign w:val="center"/>
          </w:tcPr>
          <w:p w14:paraId="3B117AAB" w14:textId="77777777" w:rsidR="008B70AA" w:rsidRPr="00095A91" w:rsidRDefault="008B70AA" w:rsidP="00E021AE">
            <w:pPr>
              <w:spacing w:line="276" w:lineRule="auto"/>
              <w:ind w:left="-74"/>
              <w:rPr>
                <w:rFonts w:ascii="Arial" w:hAnsi="Arial" w:cs="Arial"/>
                <w:b/>
                <w:i/>
                <w:color w:val="FFFFFF"/>
                <w:sz w:val="18"/>
                <w:szCs w:val="18"/>
              </w:rPr>
            </w:pPr>
            <w:r w:rsidRPr="00095A91">
              <w:rPr>
                <w:rFonts w:ascii="Arial" w:hAnsi="Arial" w:cs="Arial"/>
                <w:b/>
                <w:i/>
                <w:color w:val="FFFFFF"/>
                <w:sz w:val="18"/>
                <w:szCs w:val="18"/>
              </w:rPr>
              <w:t>verdiencapaciteit</w:t>
            </w:r>
          </w:p>
        </w:tc>
        <w:tc>
          <w:tcPr>
            <w:tcW w:w="1342" w:type="dxa"/>
            <w:tcBorders>
              <w:top w:val="single" w:sz="4" w:space="0" w:color="00A0D1"/>
              <w:left w:val="single" w:sz="4" w:space="0" w:color="FFFFFF"/>
              <w:bottom w:val="single" w:sz="4" w:space="0" w:color="00A0D1"/>
              <w:right w:val="single" w:sz="4" w:space="0" w:color="FFFFFF"/>
            </w:tcBorders>
            <w:shd w:val="clear" w:color="auto" w:fill="00A0D1"/>
            <w:vAlign w:val="center"/>
          </w:tcPr>
          <w:p w14:paraId="289BCE96" w14:textId="1FEACB06" w:rsidR="008B70AA" w:rsidRPr="00095A91" w:rsidRDefault="00452342" w:rsidP="00E021AE">
            <w:pPr>
              <w:spacing w:line="276" w:lineRule="auto"/>
              <w:jc w:val="right"/>
              <w:rPr>
                <w:rFonts w:ascii="Arial" w:hAnsi="Arial" w:cs="Arial"/>
                <w:b/>
                <w:i/>
                <w:color w:val="FFFFFF"/>
                <w:sz w:val="18"/>
                <w:szCs w:val="18"/>
              </w:rPr>
            </w:pPr>
            <w:r>
              <w:rPr>
                <w:rFonts w:ascii="Arial" w:hAnsi="Arial" w:cs="Arial"/>
                <w:b/>
                <w:i/>
                <w:color w:val="FFFFFF"/>
                <w:sz w:val="18"/>
                <w:szCs w:val="18"/>
              </w:rPr>
              <w:br/>
            </w:r>
            <w:r w:rsidR="008B70AA" w:rsidRPr="00095A91">
              <w:rPr>
                <w:rFonts w:ascii="Arial" w:hAnsi="Arial" w:cs="Arial"/>
                <w:b/>
                <w:i/>
                <w:color w:val="FFFFFF"/>
                <w:sz w:val="18"/>
                <w:szCs w:val="18"/>
              </w:rPr>
              <w:t>instroom tot 31.8.2016</w:t>
            </w:r>
          </w:p>
          <w:p w14:paraId="7C5114F9" w14:textId="77777777" w:rsidR="008B70AA" w:rsidRPr="00095A91" w:rsidRDefault="008B70AA" w:rsidP="00E021AE">
            <w:pPr>
              <w:spacing w:line="276" w:lineRule="auto"/>
              <w:jc w:val="right"/>
              <w:rPr>
                <w:rFonts w:ascii="Arial" w:hAnsi="Arial" w:cs="Arial"/>
                <w:b/>
                <w:i/>
                <w:color w:val="FFFFFF"/>
                <w:sz w:val="18"/>
                <w:szCs w:val="18"/>
              </w:rPr>
            </w:pPr>
          </w:p>
        </w:tc>
        <w:tc>
          <w:tcPr>
            <w:tcW w:w="1559" w:type="dxa"/>
            <w:tcBorders>
              <w:top w:val="single" w:sz="4" w:space="0" w:color="00A0D1"/>
              <w:left w:val="single" w:sz="4" w:space="0" w:color="FFFFFF"/>
              <w:bottom w:val="single" w:sz="4" w:space="0" w:color="00A0D1"/>
              <w:right w:val="nil"/>
            </w:tcBorders>
            <w:shd w:val="clear" w:color="auto" w:fill="00A0D1"/>
            <w:vAlign w:val="center"/>
          </w:tcPr>
          <w:p w14:paraId="4D9E9568" w14:textId="77777777" w:rsidR="008B70AA" w:rsidRPr="00095A91" w:rsidRDefault="008B70AA" w:rsidP="00E021AE">
            <w:pPr>
              <w:spacing w:line="276" w:lineRule="auto"/>
              <w:jc w:val="right"/>
              <w:rPr>
                <w:rFonts w:ascii="Arial" w:hAnsi="Arial" w:cs="Arial"/>
                <w:b/>
                <w:i/>
                <w:color w:val="FFFFFF"/>
                <w:sz w:val="18"/>
                <w:szCs w:val="18"/>
              </w:rPr>
            </w:pPr>
            <w:r w:rsidRPr="00095A91">
              <w:rPr>
                <w:rFonts w:ascii="Arial" w:hAnsi="Arial" w:cs="Arial"/>
                <w:b/>
                <w:i/>
                <w:color w:val="FFFFFF"/>
                <w:sz w:val="18"/>
                <w:szCs w:val="18"/>
              </w:rPr>
              <w:t>zittend bestand 31.8.2016</w:t>
            </w:r>
          </w:p>
        </w:tc>
      </w:tr>
      <w:tr w:rsidR="008B70AA" w:rsidRPr="00153E8A" w14:paraId="7CD525E4" w14:textId="77777777" w:rsidTr="00095A91">
        <w:trPr>
          <w:trHeight w:val="251"/>
        </w:trPr>
        <w:tc>
          <w:tcPr>
            <w:tcW w:w="1777" w:type="dxa"/>
            <w:tcBorders>
              <w:top w:val="single" w:sz="4" w:space="0" w:color="00A0D1"/>
              <w:bottom w:val="single" w:sz="4" w:space="0" w:color="00A0D1"/>
              <w:right w:val="single" w:sz="4" w:space="0" w:color="00A0D1"/>
            </w:tcBorders>
            <w:shd w:val="clear" w:color="auto" w:fill="FFFFFF"/>
            <w:vAlign w:val="center"/>
          </w:tcPr>
          <w:p w14:paraId="60F20D57" w14:textId="77777777" w:rsidR="008B70AA" w:rsidRPr="00153E8A" w:rsidRDefault="008B70AA" w:rsidP="00E021AE">
            <w:pPr>
              <w:spacing w:line="276" w:lineRule="auto"/>
              <w:rPr>
                <w:rFonts w:ascii="Arial" w:hAnsi="Arial" w:cs="Arial"/>
                <w:i/>
              </w:rPr>
            </w:pPr>
            <w:r w:rsidRPr="00153E8A">
              <w:rPr>
                <w:rFonts w:ascii="Arial" w:hAnsi="Arial" w:cs="Arial"/>
                <w:i/>
              </w:rPr>
              <w:t>&lt;50%</w:t>
            </w:r>
          </w:p>
        </w:tc>
        <w:tc>
          <w:tcPr>
            <w:tcW w:w="1342" w:type="dxa"/>
            <w:tcBorders>
              <w:top w:val="single" w:sz="4" w:space="0" w:color="00A0D1"/>
              <w:left w:val="single" w:sz="4" w:space="0" w:color="00A0D1"/>
              <w:bottom w:val="single" w:sz="4" w:space="0" w:color="00A0D1"/>
              <w:right w:val="single" w:sz="4" w:space="0" w:color="00A0D1"/>
            </w:tcBorders>
            <w:shd w:val="clear" w:color="auto" w:fill="FFFFFF"/>
            <w:vAlign w:val="center"/>
          </w:tcPr>
          <w:p w14:paraId="40F6B6D2" w14:textId="77777777" w:rsidR="008B70AA" w:rsidRPr="00153E8A" w:rsidRDefault="008B70AA" w:rsidP="00E021AE">
            <w:pPr>
              <w:spacing w:line="276" w:lineRule="auto"/>
              <w:jc w:val="right"/>
              <w:rPr>
                <w:rFonts w:ascii="Arial" w:hAnsi="Arial" w:cs="Arial"/>
                <w:i/>
              </w:rPr>
            </w:pPr>
            <w:r w:rsidRPr="00153E8A">
              <w:rPr>
                <w:rFonts w:ascii="Arial" w:hAnsi="Arial" w:cs="Arial"/>
                <w:i/>
              </w:rPr>
              <w:t>20</w:t>
            </w:r>
          </w:p>
        </w:tc>
        <w:tc>
          <w:tcPr>
            <w:tcW w:w="1559" w:type="dxa"/>
            <w:tcBorders>
              <w:top w:val="single" w:sz="4" w:space="0" w:color="00A0D1"/>
              <w:left w:val="single" w:sz="4" w:space="0" w:color="00A0D1"/>
              <w:bottom w:val="single" w:sz="4" w:space="0" w:color="00A0D1"/>
              <w:right w:val="nil"/>
            </w:tcBorders>
            <w:shd w:val="clear" w:color="auto" w:fill="FFFFFF"/>
          </w:tcPr>
          <w:p w14:paraId="53D06590" w14:textId="77777777" w:rsidR="008B70AA" w:rsidRPr="00153E8A" w:rsidRDefault="008B70AA" w:rsidP="00E021AE">
            <w:pPr>
              <w:spacing w:line="276" w:lineRule="auto"/>
              <w:jc w:val="right"/>
              <w:rPr>
                <w:rFonts w:ascii="Arial" w:hAnsi="Arial" w:cs="Arial"/>
                <w:i/>
              </w:rPr>
            </w:pPr>
            <w:r w:rsidRPr="00153E8A">
              <w:rPr>
                <w:rFonts w:ascii="Arial" w:hAnsi="Arial" w:cs="Arial"/>
                <w:i/>
              </w:rPr>
              <w:t>131</w:t>
            </w:r>
          </w:p>
        </w:tc>
      </w:tr>
      <w:tr w:rsidR="008B70AA" w:rsidRPr="00153E8A" w14:paraId="3EC725E6" w14:textId="77777777" w:rsidTr="00095A91">
        <w:tc>
          <w:tcPr>
            <w:tcW w:w="1777" w:type="dxa"/>
            <w:tcBorders>
              <w:top w:val="single" w:sz="4" w:space="0" w:color="00A0D1"/>
              <w:bottom w:val="single" w:sz="4" w:space="0" w:color="00A0D1"/>
              <w:right w:val="single" w:sz="4" w:space="0" w:color="00A0D1"/>
            </w:tcBorders>
            <w:vAlign w:val="center"/>
          </w:tcPr>
          <w:p w14:paraId="181BA134" w14:textId="77777777" w:rsidR="008B70AA" w:rsidRPr="00153E8A" w:rsidRDefault="008B70AA" w:rsidP="00E021AE">
            <w:pPr>
              <w:spacing w:line="276" w:lineRule="auto"/>
              <w:rPr>
                <w:rFonts w:ascii="Arial" w:hAnsi="Arial" w:cs="Arial"/>
                <w:i/>
              </w:rPr>
            </w:pPr>
            <w:r w:rsidRPr="00153E8A">
              <w:rPr>
                <w:rFonts w:ascii="Arial" w:hAnsi="Arial" w:cs="Arial"/>
                <w:i/>
              </w:rPr>
              <w:t>50-80%</w:t>
            </w:r>
          </w:p>
        </w:tc>
        <w:tc>
          <w:tcPr>
            <w:tcW w:w="1342" w:type="dxa"/>
            <w:tcBorders>
              <w:top w:val="single" w:sz="4" w:space="0" w:color="00A0D1"/>
              <w:left w:val="single" w:sz="4" w:space="0" w:color="00A0D1"/>
              <w:bottom w:val="single" w:sz="4" w:space="0" w:color="00A0D1"/>
              <w:right w:val="single" w:sz="4" w:space="0" w:color="00A0D1"/>
            </w:tcBorders>
            <w:vAlign w:val="center"/>
          </w:tcPr>
          <w:p w14:paraId="770407A7" w14:textId="77777777" w:rsidR="008B70AA" w:rsidRPr="00153E8A" w:rsidRDefault="008B70AA" w:rsidP="00E021AE">
            <w:pPr>
              <w:spacing w:line="276" w:lineRule="auto"/>
              <w:jc w:val="right"/>
              <w:rPr>
                <w:rFonts w:ascii="Arial" w:hAnsi="Arial" w:cs="Arial"/>
                <w:i/>
              </w:rPr>
            </w:pPr>
            <w:r w:rsidRPr="00153E8A">
              <w:rPr>
                <w:rFonts w:ascii="Arial" w:hAnsi="Arial" w:cs="Arial"/>
                <w:i/>
              </w:rPr>
              <w:t>17</w:t>
            </w:r>
          </w:p>
        </w:tc>
        <w:tc>
          <w:tcPr>
            <w:tcW w:w="1559" w:type="dxa"/>
            <w:tcBorders>
              <w:top w:val="single" w:sz="4" w:space="0" w:color="00A0D1"/>
              <w:left w:val="single" w:sz="4" w:space="0" w:color="00A0D1"/>
              <w:bottom w:val="single" w:sz="4" w:space="0" w:color="00A0D1"/>
              <w:right w:val="nil"/>
            </w:tcBorders>
          </w:tcPr>
          <w:p w14:paraId="70A6819C" w14:textId="77777777" w:rsidR="008B70AA" w:rsidRPr="00153E8A" w:rsidRDefault="008B70AA" w:rsidP="00E021AE">
            <w:pPr>
              <w:spacing w:line="276" w:lineRule="auto"/>
              <w:jc w:val="right"/>
              <w:rPr>
                <w:rFonts w:ascii="Arial" w:hAnsi="Arial" w:cs="Arial"/>
                <w:i/>
              </w:rPr>
            </w:pPr>
            <w:r w:rsidRPr="00153E8A">
              <w:rPr>
                <w:rFonts w:ascii="Arial" w:hAnsi="Arial" w:cs="Arial"/>
                <w:i/>
              </w:rPr>
              <w:t>76</w:t>
            </w:r>
          </w:p>
        </w:tc>
      </w:tr>
      <w:tr w:rsidR="008B70AA" w:rsidRPr="00153E8A" w14:paraId="7127CC83" w14:textId="77777777" w:rsidTr="00095A91">
        <w:tc>
          <w:tcPr>
            <w:tcW w:w="1777" w:type="dxa"/>
            <w:tcBorders>
              <w:top w:val="single" w:sz="4" w:space="0" w:color="00A0D1"/>
              <w:bottom w:val="single" w:sz="4" w:space="0" w:color="00A0D1"/>
              <w:right w:val="single" w:sz="4" w:space="0" w:color="00A0D1"/>
            </w:tcBorders>
            <w:vAlign w:val="center"/>
          </w:tcPr>
          <w:p w14:paraId="7905B581" w14:textId="77777777" w:rsidR="008B70AA" w:rsidRPr="00153E8A" w:rsidRDefault="008B70AA" w:rsidP="00E021AE">
            <w:pPr>
              <w:spacing w:line="276" w:lineRule="auto"/>
              <w:rPr>
                <w:rFonts w:ascii="Arial" w:hAnsi="Arial" w:cs="Arial"/>
                <w:i/>
              </w:rPr>
            </w:pPr>
            <w:r w:rsidRPr="00153E8A">
              <w:rPr>
                <w:rFonts w:ascii="Arial" w:hAnsi="Arial" w:cs="Arial"/>
                <w:i/>
              </w:rPr>
              <w:t>80-100%</w:t>
            </w:r>
          </w:p>
        </w:tc>
        <w:tc>
          <w:tcPr>
            <w:tcW w:w="1342" w:type="dxa"/>
            <w:tcBorders>
              <w:top w:val="single" w:sz="4" w:space="0" w:color="00A0D1"/>
              <w:left w:val="single" w:sz="4" w:space="0" w:color="00A0D1"/>
              <w:bottom w:val="single" w:sz="4" w:space="0" w:color="00A0D1"/>
              <w:right w:val="single" w:sz="4" w:space="0" w:color="00A0D1"/>
            </w:tcBorders>
            <w:vAlign w:val="center"/>
          </w:tcPr>
          <w:p w14:paraId="6B11049B" w14:textId="77777777" w:rsidR="008B70AA" w:rsidRPr="00153E8A" w:rsidRDefault="008B70AA" w:rsidP="00E021AE">
            <w:pPr>
              <w:spacing w:line="276" w:lineRule="auto"/>
              <w:jc w:val="right"/>
              <w:rPr>
                <w:rFonts w:ascii="Arial" w:hAnsi="Arial" w:cs="Arial"/>
                <w:i/>
              </w:rPr>
            </w:pPr>
            <w:r w:rsidRPr="00153E8A">
              <w:rPr>
                <w:rFonts w:ascii="Arial" w:hAnsi="Arial" w:cs="Arial"/>
                <w:i/>
              </w:rPr>
              <w:t>59</w:t>
            </w:r>
          </w:p>
        </w:tc>
        <w:tc>
          <w:tcPr>
            <w:tcW w:w="1559" w:type="dxa"/>
            <w:tcBorders>
              <w:top w:val="single" w:sz="4" w:space="0" w:color="00A0D1"/>
              <w:left w:val="single" w:sz="4" w:space="0" w:color="00A0D1"/>
              <w:bottom w:val="single" w:sz="4" w:space="0" w:color="00A0D1"/>
              <w:right w:val="nil"/>
            </w:tcBorders>
          </w:tcPr>
          <w:p w14:paraId="06EA9A22" w14:textId="77777777" w:rsidR="008B70AA" w:rsidRPr="00153E8A" w:rsidRDefault="008B70AA" w:rsidP="00E021AE">
            <w:pPr>
              <w:spacing w:line="276" w:lineRule="auto"/>
              <w:jc w:val="right"/>
              <w:rPr>
                <w:rFonts w:ascii="Arial" w:hAnsi="Arial" w:cs="Arial"/>
                <w:i/>
              </w:rPr>
            </w:pPr>
            <w:r w:rsidRPr="00153E8A">
              <w:rPr>
                <w:rFonts w:ascii="Arial" w:hAnsi="Arial" w:cs="Arial"/>
                <w:i/>
              </w:rPr>
              <w:t>111</w:t>
            </w:r>
          </w:p>
        </w:tc>
      </w:tr>
    </w:tbl>
    <w:p w14:paraId="1EDDA658" w14:textId="77777777" w:rsidR="008B70AA" w:rsidRDefault="008B70AA"/>
    <w:p w14:paraId="0413CB6B" w14:textId="46112578" w:rsidR="000C7BBF" w:rsidRDefault="000C7BBF" w:rsidP="000C7BBF">
      <w:pPr>
        <w:rPr>
          <w:rFonts w:ascii="Arial" w:hAnsi="Arial" w:cs="Arial"/>
        </w:rPr>
      </w:pPr>
    </w:p>
    <w:p w14:paraId="062BF5DC" w14:textId="28DC698A" w:rsidR="00142C17" w:rsidRDefault="00B02561" w:rsidP="00B84B04">
      <w:pPr>
        <w:pStyle w:val="Tekstzonderopmaak"/>
        <w:rPr>
          <w:rFonts w:ascii="Arial" w:hAnsi="Arial" w:cs="Arial"/>
          <w:b/>
          <w:sz w:val="20"/>
          <w:szCs w:val="20"/>
        </w:rPr>
      </w:pPr>
      <w:r>
        <w:rPr>
          <w:rFonts w:ascii="Arial" w:hAnsi="Arial" w:cs="Arial"/>
          <w:b/>
          <w:sz w:val="20"/>
          <w:szCs w:val="20"/>
        </w:rPr>
        <w:lastRenderedPageBreak/>
        <w:t>2</w:t>
      </w:r>
      <w:r>
        <w:rPr>
          <w:rFonts w:ascii="Arial" w:hAnsi="Arial" w:cs="Arial"/>
          <w:b/>
          <w:sz w:val="20"/>
          <w:szCs w:val="20"/>
        </w:rPr>
        <w:tab/>
        <w:t>Inzet Drechtsteden</w:t>
      </w:r>
    </w:p>
    <w:p w14:paraId="7CD831D1" w14:textId="7E4C4D08" w:rsidR="00CE14F7" w:rsidRPr="00E940DD" w:rsidRDefault="00E940DD" w:rsidP="004E6F39">
      <w:pPr>
        <w:pStyle w:val="Tekstzonderopmaak"/>
        <w:rPr>
          <w:rFonts w:ascii="Arial" w:hAnsi="Arial" w:cs="Arial"/>
          <w:sz w:val="20"/>
          <w:szCs w:val="20"/>
        </w:rPr>
      </w:pPr>
      <w:r w:rsidRPr="00E940DD">
        <w:rPr>
          <w:rFonts w:ascii="Arial" w:hAnsi="Arial" w:cs="Arial"/>
          <w:sz w:val="20"/>
          <w:szCs w:val="20"/>
        </w:rPr>
        <w:t>In de begroting 2016 is een deel van het Participatiebudget (€ 7.677.000) gereserveerd voor de uitvoering van re-integratieactiviteiten in 2016. Voor de aanpak van de doelgroepen 50%-80% en 80%-100% is in totaal € 5.374.000 begroot. Voor de doelgroep met een arbeidsvermogen onder de 50% is € 2.256.000 beschikbaar.</w:t>
      </w:r>
      <w:r>
        <w:rPr>
          <w:rFonts w:ascii="Arial" w:hAnsi="Arial" w:cs="Arial"/>
          <w:sz w:val="20"/>
          <w:szCs w:val="20"/>
        </w:rPr>
        <w:t xml:space="preserve"> </w:t>
      </w:r>
    </w:p>
    <w:p w14:paraId="33CA8E39" w14:textId="77777777" w:rsidR="00B02561" w:rsidRDefault="00B02561" w:rsidP="00B84B04">
      <w:pPr>
        <w:pStyle w:val="Tekstzonderopmaak"/>
        <w:rPr>
          <w:rFonts w:ascii="Arial" w:hAnsi="Arial" w:cs="Arial"/>
          <w:b/>
          <w:sz w:val="20"/>
          <w:szCs w:val="20"/>
        </w:rPr>
      </w:pPr>
    </w:p>
    <w:p w14:paraId="767BA3F2" w14:textId="06C5EF6C" w:rsidR="00B84B04" w:rsidRDefault="00B02561" w:rsidP="00B84B04">
      <w:pPr>
        <w:pStyle w:val="Tekstzonderopmaak"/>
        <w:rPr>
          <w:rFonts w:ascii="Arial" w:hAnsi="Arial" w:cs="Arial"/>
          <w:b/>
          <w:sz w:val="20"/>
          <w:szCs w:val="20"/>
        </w:rPr>
      </w:pPr>
      <w:r>
        <w:rPr>
          <w:rFonts w:ascii="Arial" w:hAnsi="Arial" w:cs="Arial"/>
          <w:b/>
          <w:sz w:val="20"/>
          <w:szCs w:val="20"/>
        </w:rPr>
        <w:t>2.1</w:t>
      </w:r>
      <w:r>
        <w:rPr>
          <w:rFonts w:ascii="Arial" w:hAnsi="Arial" w:cs="Arial"/>
          <w:b/>
          <w:sz w:val="20"/>
          <w:szCs w:val="20"/>
        </w:rPr>
        <w:tab/>
      </w:r>
      <w:r w:rsidR="00B84B04">
        <w:rPr>
          <w:rFonts w:ascii="Arial" w:hAnsi="Arial" w:cs="Arial"/>
          <w:b/>
          <w:sz w:val="20"/>
          <w:szCs w:val="20"/>
        </w:rPr>
        <w:t xml:space="preserve">Bestaand instrumentarium </w:t>
      </w:r>
    </w:p>
    <w:p w14:paraId="004D67CA" w14:textId="3BBAA4A5" w:rsidR="00B84B04" w:rsidRPr="00E72660" w:rsidRDefault="00B84B04" w:rsidP="00B84B04">
      <w:pPr>
        <w:pStyle w:val="Tekstzonderopmaak"/>
        <w:rPr>
          <w:rFonts w:ascii="Arial" w:hAnsi="Arial" w:cs="Arial"/>
          <w:sz w:val="20"/>
          <w:szCs w:val="20"/>
        </w:rPr>
      </w:pPr>
      <w:r w:rsidRPr="00E72660">
        <w:rPr>
          <w:rFonts w:ascii="Arial" w:hAnsi="Arial" w:cs="Arial"/>
          <w:sz w:val="20"/>
          <w:szCs w:val="20"/>
        </w:rPr>
        <w:t xml:space="preserve">De SDD beschikt al over een ruim instrumentarium waarmee burgers en werkgevers ondersteund worden bij de zoektocht naar werk, respectievelijk werknemers. De inzet voor de </w:t>
      </w:r>
      <w:r w:rsidR="001A0A67" w:rsidRPr="00E72660">
        <w:rPr>
          <w:rFonts w:ascii="Arial" w:hAnsi="Arial" w:cs="Arial"/>
          <w:sz w:val="20"/>
          <w:szCs w:val="20"/>
        </w:rPr>
        <w:t>2016</w:t>
      </w:r>
      <w:r w:rsidRPr="00E72660">
        <w:rPr>
          <w:rFonts w:ascii="Arial" w:hAnsi="Arial" w:cs="Arial"/>
          <w:sz w:val="20"/>
          <w:szCs w:val="20"/>
        </w:rPr>
        <w:t xml:space="preserve"> (en verder) is om naast het reeds bestaande aanbod, het arsenaal nog verder te verbreden om nog meer mensen te kunnen ondersteunen richting de arbeidsmarkt</w:t>
      </w:r>
      <w:r w:rsidR="001A0A67" w:rsidRPr="00E72660">
        <w:rPr>
          <w:rFonts w:ascii="Arial" w:hAnsi="Arial" w:cs="Arial"/>
          <w:sz w:val="20"/>
          <w:szCs w:val="20"/>
        </w:rPr>
        <w:t xml:space="preserve"> </w:t>
      </w:r>
      <w:r w:rsidR="009E3CF6">
        <w:rPr>
          <w:rFonts w:ascii="Arial" w:hAnsi="Arial" w:cs="Arial"/>
          <w:sz w:val="20"/>
          <w:szCs w:val="20"/>
        </w:rPr>
        <w:t>en daarmee het bestand te reduceren</w:t>
      </w:r>
      <w:r w:rsidR="009E3CF6" w:rsidRPr="00E72660">
        <w:rPr>
          <w:rFonts w:ascii="Arial" w:hAnsi="Arial" w:cs="Arial"/>
          <w:sz w:val="20"/>
          <w:szCs w:val="20"/>
        </w:rPr>
        <w:t xml:space="preserve"> </w:t>
      </w:r>
      <w:r w:rsidR="001A0A67" w:rsidRPr="00E72660">
        <w:rPr>
          <w:rFonts w:ascii="Arial" w:hAnsi="Arial" w:cs="Arial"/>
          <w:sz w:val="20"/>
          <w:szCs w:val="20"/>
        </w:rPr>
        <w:t>(zie ook paragraaf 1.3)</w:t>
      </w:r>
      <w:r w:rsidRPr="00E72660">
        <w:rPr>
          <w:rFonts w:ascii="Arial" w:hAnsi="Arial" w:cs="Arial"/>
          <w:sz w:val="20"/>
          <w:szCs w:val="20"/>
        </w:rPr>
        <w:t>.</w:t>
      </w:r>
    </w:p>
    <w:p w14:paraId="34936103" w14:textId="77777777" w:rsidR="00B84B04" w:rsidRDefault="00B84B04" w:rsidP="00B84B04">
      <w:pPr>
        <w:rPr>
          <w:rFonts w:ascii="Arial" w:eastAsia="Calibri" w:hAnsi="Arial" w:cs="Arial"/>
          <w:lang w:eastAsia="en-US"/>
        </w:rPr>
      </w:pPr>
    </w:p>
    <w:p w14:paraId="14FD8583" w14:textId="051439C1" w:rsidR="00B84B04" w:rsidRDefault="00B84B04" w:rsidP="00B84B04">
      <w:pPr>
        <w:pStyle w:val="Tekstzonderopmaak"/>
        <w:rPr>
          <w:rFonts w:ascii="Arial" w:hAnsi="Arial" w:cs="Arial"/>
          <w:sz w:val="20"/>
          <w:szCs w:val="20"/>
        </w:rPr>
      </w:pPr>
      <w:r>
        <w:rPr>
          <w:rFonts w:ascii="Arial" w:hAnsi="Arial" w:cs="Arial"/>
          <w:sz w:val="20"/>
          <w:szCs w:val="20"/>
        </w:rPr>
        <w:t xml:space="preserve">De instrumenten die </w:t>
      </w:r>
      <w:r w:rsidR="009B71C0">
        <w:rPr>
          <w:rFonts w:ascii="Arial" w:hAnsi="Arial" w:cs="Arial"/>
          <w:sz w:val="20"/>
          <w:szCs w:val="20"/>
        </w:rPr>
        <w:t xml:space="preserve">in 2016 zijn </w:t>
      </w:r>
      <w:r>
        <w:rPr>
          <w:rFonts w:ascii="Arial" w:hAnsi="Arial" w:cs="Arial"/>
          <w:sz w:val="20"/>
          <w:szCs w:val="20"/>
        </w:rPr>
        <w:t>ingezet om werkgevers te ondersteunen zijn (naar arbeidsvermogen):</w:t>
      </w:r>
    </w:p>
    <w:p w14:paraId="5CF7B726" w14:textId="77777777" w:rsidR="00B84B04" w:rsidRDefault="00B84B04" w:rsidP="00B84B04">
      <w:pPr>
        <w:pStyle w:val="Tekstzonderopmaak"/>
        <w:rPr>
          <w:rFonts w:ascii="Arial" w:hAnsi="Arial" w:cs="Arial"/>
          <w:sz w:val="20"/>
          <w:szCs w:val="20"/>
        </w:rPr>
      </w:pPr>
    </w:p>
    <w:p w14:paraId="263A0E5D" w14:textId="77777777" w:rsidR="00B84B04" w:rsidRPr="00153E8A" w:rsidRDefault="00B84B04" w:rsidP="00B84B04">
      <w:pPr>
        <w:pStyle w:val="Tekstzonderopmaak"/>
        <w:rPr>
          <w:rFonts w:ascii="Arial" w:hAnsi="Arial" w:cs="Arial"/>
          <w:sz w:val="20"/>
          <w:szCs w:val="20"/>
          <w:u w:val="single"/>
        </w:rPr>
      </w:pPr>
      <w:r w:rsidRPr="00153E8A">
        <w:rPr>
          <w:rFonts w:ascii="Arial" w:hAnsi="Arial" w:cs="Arial"/>
          <w:sz w:val="20"/>
          <w:szCs w:val="20"/>
          <w:u w:val="single"/>
        </w:rPr>
        <w:t>Voor de doelgroep 50-80%:</w:t>
      </w:r>
    </w:p>
    <w:p w14:paraId="1C45CC4C" w14:textId="77777777" w:rsidR="00B84B04" w:rsidRPr="00153E8A" w:rsidRDefault="00B84B04" w:rsidP="00B84B04">
      <w:pPr>
        <w:pStyle w:val="Tekstzonderopmaak"/>
        <w:numPr>
          <w:ilvl w:val="0"/>
          <w:numId w:val="7"/>
        </w:numPr>
        <w:rPr>
          <w:rFonts w:ascii="Arial" w:hAnsi="Arial" w:cs="Arial"/>
          <w:sz w:val="20"/>
          <w:szCs w:val="20"/>
        </w:rPr>
      </w:pPr>
      <w:r w:rsidRPr="00153E8A">
        <w:rPr>
          <w:rFonts w:ascii="Arial" w:hAnsi="Arial" w:cs="Arial"/>
          <w:sz w:val="20"/>
          <w:szCs w:val="20"/>
        </w:rPr>
        <w:t xml:space="preserve">No-riskpolis: De no-riskpolis is een verzekering die kan worden ingezet als ondersteuning bij de arbeidsinschakeling. De SDD kan de kosten van een no-riskpolis vergoeden aan de werkgever of aan de werkgever een no-riskpolis verstrekken. De no-riskpolis zorgt ervoor dat een werkgever wordt gecompenseerd voor de loonkosten als een werknemer met arbeidsbeperkingen ziek wordt. Zo hoeft de werkgever zich hier geen zorgen over te maken. De werknemer moet wel minimaal zes maanden bij de werkgever kunnen werken. </w:t>
      </w:r>
    </w:p>
    <w:p w14:paraId="3CBB302A" w14:textId="77777777" w:rsidR="00B84B04" w:rsidRPr="00153E8A" w:rsidRDefault="00B84B04" w:rsidP="00B84B04">
      <w:pPr>
        <w:pStyle w:val="Tekstzonderopmaak"/>
        <w:numPr>
          <w:ilvl w:val="0"/>
          <w:numId w:val="7"/>
        </w:numPr>
        <w:rPr>
          <w:rFonts w:ascii="Arial" w:hAnsi="Arial" w:cs="Arial"/>
          <w:sz w:val="20"/>
          <w:szCs w:val="20"/>
        </w:rPr>
      </w:pPr>
      <w:r w:rsidRPr="00153E8A">
        <w:rPr>
          <w:rFonts w:ascii="Arial" w:hAnsi="Arial" w:cs="Arial"/>
          <w:sz w:val="20"/>
          <w:szCs w:val="20"/>
        </w:rPr>
        <w:t>Loonkostensubsidie en Detachering: De doelgroep met een verdiencapaciteit van 50-80% kan gedetacheerd worden met loonkostensubsidie. De SDD kan aan een werkgever loonkostensubsidie verstrekken om verminderde productiviteit van een werknemer te compenseren. Tot de doelgroep loonkostensubsidie behoren personen van wie is vastgesteld dat zij met voltijdse arbeid niet in staat zijn tot het verdienen van het wettelijk minimumloon, doch wel mogelijkheden tot arbeidsparticipatie hebben. De begeleiding wordt door de SDD (afdeling begeleiding) uitgevoerd.</w:t>
      </w:r>
    </w:p>
    <w:p w14:paraId="743389B4" w14:textId="77777777" w:rsidR="00B84B04" w:rsidRPr="00153E8A" w:rsidRDefault="00B84B04" w:rsidP="00B84B04">
      <w:pPr>
        <w:pStyle w:val="Tekstzonderopmaak"/>
        <w:rPr>
          <w:rFonts w:ascii="Arial" w:hAnsi="Arial" w:cs="Arial"/>
          <w:sz w:val="20"/>
          <w:szCs w:val="20"/>
          <w:u w:val="single"/>
        </w:rPr>
      </w:pPr>
    </w:p>
    <w:p w14:paraId="7836C569" w14:textId="77777777" w:rsidR="00B84B04" w:rsidRPr="00153E8A" w:rsidRDefault="00B84B04" w:rsidP="00B84B04">
      <w:pPr>
        <w:pStyle w:val="Tekstzonderopmaak"/>
        <w:rPr>
          <w:rFonts w:ascii="Arial" w:hAnsi="Arial" w:cs="Arial"/>
          <w:sz w:val="20"/>
          <w:szCs w:val="20"/>
          <w:u w:val="single"/>
        </w:rPr>
      </w:pPr>
      <w:r w:rsidRPr="00153E8A">
        <w:rPr>
          <w:rFonts w:ascii="Arial" w:hAnsi="Arial" w:cs="Arial"/>
          <w:sz w:val="20"/>
          <w:szCs w:val="20"/>
          <w:u w:val="single"/>
        </w:rPr>
        <w:t>Voor de doelgroep 80 – 100%</w:t>
      </w:r>
    </w:p>
    <w:p w14:paraId="68403345" w14:textId="273ACAE6" w:rsidR="00B84B04" w:rsidRPr="00153E8A" w:rsidRDefault="00B84B04" w:rsidP="00B84B04">
      <w:pPr>
        <w:pStyle w:val="Tekstzonderopmaak"/>
        <w:numPr>
          <w:ilvl w:val="0"/>
          <w:numId w:val="7"/>
        </w:numPr>
        <w:rPr>
          <w:rFonts w:ascii="Arial" w:hAnsi="Arial" w:cs="Arial"/>
          <w:sz w:val="20"/>
          <w:szCs w:val="20"/>
        </w:rPr>
      </w:pPr>
      <w:r w:rsidRPr="00153E8A">
        <w:rPr>
          <w:rFonts w:ascii="Arial" w:hAnsi="Arial" w:cs="Arial"/>
          <w:sz w:val="20"/>
          <w:szCs w:val="20"/>
        </w:rPr>
        <w:t xml:space="preserve">Re-integratie Werk Overeenkomst (RWO): Een klant kan middels RWO werkervaring opdoen in een bedrijf zonder bij de werkgever in dienst te komen. Een werkgever krijgt zo de mogelijkheid om tegen een aantrekkelijk tarief een werknemer een kans te geven. De RWO duurt drie maanden en kan eventueel verlengd worden tot zes maanden. De bedoeling is dat een klant na de RWO in dienst komt bij de werkgever onder de voorwaarde dat de klant na de inwerkperiode en een eventuele opleiding en begeleiding, op hetzelfde niveau presteert als een vaste medewerker binnen het bedrijf. </w:t>
      </w:r>
    </w:p>
    <w:p w14:paraId="01FBCE17" w14:textId="77777777" w:rsidR="00B84B04" w:rsidRPr="00153E8A" w:rsidRDefault="00B84B04" w:rsidP="00B84B04">
      <w:pPr>
        <w:pStyle w:val="Tekstzonderopmaak"/>
        <w:rPr>
          <w:rFonts w:ascii="Arial" w:hAnsi="Arial" w:cs="Arial"/>
          <w:sz w:val="20"/>
          <w:szCs w:val="20"/>
        </w:rPr>
      </w:pPr>
    </w:p>
    <w:p w14:paraId="341DEAAC" w14:textId="29647835" w:rsidR="00B84B04" w:rsidRPr="00153E8A" w:rsidRDefault="00B84B04" w:rsidP="00B84B04">
      <w:pPr>
        <w:pStyle w:val="Tekstzonderopmaak"/>
        <w:rPr>
          <w:rFonts w:ascii="Arial" w:hAnsi="Arial" w:cs="Arial"/>
          <w:sz w:val="20"/>
          <w:szCs w:val="20"/>
        </w:rPr>
      </w:pPr>
      <w:r w:rsidRPr="00153E8A">
        <w:rPr>
          <w:rFonts w:ascii="Arial" w:hAnsi="Arial" w:cs="Arial"/>
          <w:sz w:val="20"/>
          <w:szCs w:val="20"/>
        </w:rPr>
        <w:t xml:space="preserve">Naast de instrumenten die bijdragen aan het ontzorgen van werkgevers is er nog een ander aantal instrumenten die </w:t>
      </w:r>
      <w:r w:rsidR="004E6F39">
        <w:rPr>
          <w:rFonts w:ascii="Arial" w:hAnsi="Arial" w:cs="Arial"/>
          <w:sz w:val="20"/>
          <w:szCs w:val="20"/>
        </w:rPr>
        <w:t>zijn</w:t>
      </w:r>
      <w:r w:rsidRPr="00153E8A">
        <w:rPr>
          <w:rFonts w:ascii="Arial" w:hAnsi="Arial" w:cs="Arial"/>
          <w:sz w:val="20"/>
          <w:szCs w:val="20"/>
        </w:rPr>
        <w:t xml:space="preserve"> ingezet om mensen naar een baan te helpen:</w:t>
      </w:r>
    </w:p>
    <w:p w14:paraId="7AC0A9AA" w14:textId="77777777" w:rsidR="00B84B04" w:rsidRPr="00153E8A" w:rsidRDefault="00B84B04" w:rsidP="00B84B04">
      <w:pPr>
        <w:pStyle w:val="Tekstzonderopmaak"/>
        <w:numPr>
          <w:ilvl w:val="0"/>
          <w:numId w:val="8"/>
        </w:numPr>
        <w:rPr>
          <w:rFonts w:ascii="Arial" w:hAnsi="Arial" w:cs="Arial"/>
          <w:sz w:val="20"/>
          <w:szCs w:val="20"/>
        </w:rPr>
      </w:pPr>
      <w:r w:rsidRPr="00153E8A">
        <w:rPr>
          <w:rFonts w:ascii="Arial" w:hAnsi="Arial" w:cs="Arial"/>
          <w:sz w:val="20"/>
          <w:szCs w:val="20"/>
        </w:rPr>
        <w:t>Buzinezzclub: Begeleidt jongeren tot 27 jaar met een uitkering bij het maken van de stap naar een opleiding, werk of eigen onderneming.</w:t>
      </w:r>
    </w:p>
    <w:p w14:paraId="4C39E627" w14:textId="1586938D" w:rsidR="00B84B04" w:rsidRPr="00153E8A" w:rsidRDefault="00B84B04" w:rsidP="00B84B04">
      <w:pPr>
        <w:pStyle w:val="Tekstzonderopmaak"/>
        <w:numPr>
          <w:ilvl w:val="0"/>
          <w:numId w:val="8"/>
        </w:numPr>
        <w:rPr>
          <w:rFonts w:ascii="Arial" w:hAnsi="Arial" w:cs="Arial"/>
          <w:sz w:val="20"/>
          <w:szCs w:val="20"/>
        </w:rPr>
      </w:pPr>
      <w:r w:rsidRPr="00153E8A">
        <w:rPr>
          <w:rFonts w:ascii="Arial" w:hAnsi="Arial" w:cs="Arial"/>
          <w:sz w:val="20"/>
          <w:szCs w:val="20"/>
        </w:rPr>
        <w:t>Vrijwilligersbonus:</w:t>
      </w:r>
      <w:bookmarkStart w:id="1" w:name="beleid"/>
      <w:r w:rsidRPr="00153E8A">
        <w:rPr>
          <w:rFonts w:ascii="Arial" w:hAnsi="Arial" w:cs="Arial"/>
          <w:sz w:val="20"/>
          <w:szCs w:val="20"/>
        </w:rPr>
        <w:t xml:space="preserve"> De meerderjarige belanghebbende jonger dan de pensioengerechtigde leeftijd, waarbij het inkomen niet hoger is dan 110% van het van toepassing zijnde wettelijk sociaal minimum, die gedurende ten</w:t>
      </w:r>
      <w:r w:rsidR="001C247A">
        <w:rPr>
          <w:rFonts w:ascii="Arial" w:hAnsi="Arial" w:cs="Arial"/>
          <w:sz w:val="20"/>
          <w:szCs w:val="20"/>
        </w:rPr>
        <w:t xml:space="preserve"> </w:t>
      </w:r>
      <w:r w:rsidRPr="00153E8A">
        <w:rPr>
          <w:rFonts w:ascii="Arial" w:hAnsi="Arial" w:cs="Arial"/>
          <w:sz w:val="20"/>
          <w:szCs w:val="20"/>
        </w:rPr>
        <w:t>minste 6 maanden vrijwilligerswerk verricht op het moment van aanvraag komt in aanmerking voor een jaarlijkse vergoeding.</w:t>
      </w:r>
      <w:bookmarkEnd w:id="1"/>
    </w:p>
    <w:p w14:paraId="643F48B2" w14:textId="77777777" w:rsidR="00B84B04" w:rsidRPr="00153E8A" w:rsidRDefault="00B84B04" w:rsidP="00B84B04">
      <w:pPr>
        <w:pStyle w:val="Tekstzonderopmaak"/>
        <w:numPr>
          <w:ilvl w:val="0"/>
          <w:numId w:val="8"/>
        </w:numPr>
        <w:rPr>
          <w:rFonts w:ascii="Arial" w:hAnsi="Arial" w:cs="Arial"/>
          <w:sz w:val="20"/>
          <w:szCs w:val="20"/>
        </w:rPr>
      </w:pPr>
      <w:r w:rsidRPr="00153E8A">
        <w:rPr>
          <w:rFonts w:ascii="Arial" w:hAnsi="Arial" w:cs="Arial"/>
          <w:sz w:val="20"/>
          <w:szCs w:val="20"/>
        </w:rPr>
        <w:t>SROI: Bij de aanbesteding van werken, leveringen en diensten aan de zes Drechtsteden gemeenten wordt van opdrachtnemers geëist minimaal 5% van de waarde van de opdracht of omzet aan te wenden voor de inzet van kandidaten met een afstand tot de arbeidsmarkt.</w:t>
      </w:r>
    </w:p>
    <w:p w14:paraId="6AD4CF65" w14:textId="77777777" w:rsidR="00B84B04" w:rsidRPr="00153E8A" w:rsidRDefault="00B84B04" w:rsidP="00B84B04">
      <w:pPr>
        <w:numPr>
          <w:ilvl w:val="0"/>
          <w:numId w:val="8"/>
        </w:numPr>
        <w:rPr>
          <w:rFonts w:ascii="Arial" w:hAnsi="Arial" w:cs="Arial"/>
        </w:rPr>
      </w:pPr>
      <w:r w:rsidRPr="00153E8A">
        <w:rPr>
          <w:rFonts w:ascii="Arial" w:hAnsi="Arial" w:cs="Arial"/>
        </w:rPr>
        <w:t>Aanbod van opleidingen, bijvoorbeeld: VCA certificaat, heftruckdiploma en WMO-consulent.</w:t>
      </w:r>
    </w:p>
    <w:p w14:paraId="012543C4" w14:textId="77777777" w:rsidR="00B84B04" w:rsidRPr="00153E8A" w:rsidRDefault="00B84B04" w:rsidP="00B84B04">
      <w:pPr>
        <w:pStyle w:val="Tekstzonderopmaak"/>
        <w:rPr>
          <w:rFonts w:ascii="Arial" w:hAnsi="Arial" w:cs="Arial"/>
          <w:sz w:val="20"/>
          <w:szCs w:val="20"/>
        </w:rPr>
      </w:pPr>
    </w:p>
    <w:p w14:paraId="0DA5633D" w14:textId="77777777" w:rsidR="00B84B04" w:rsidRPr="00153E8A" w:rsidRDefault="00B84B04" w:rsidP="00B84B04">
      <w:pPr>
        <w:pStyle w:val="Tekstzonderopmaak"/>
        <w:rPr>
          <w:rFonts w:ascii="Arial" w:hAnsi="Arial" w:cs="Arial"/>
          <w:sz w:val="20"/>
          <w:szCs w:val="20"/>
        </w:rPr>
      </w:pPr>
    </w:p>
    <w:p w14:paraId="220ECFA1" w14:textId="77777777" w:rsidR="001A0A67" w:rsidRDefault="001A0A67">
      <w:pPr>
        <w:spacing w:after="160" w:line="259" w:lineRule="auto"/>
        <w:rPr>
          <w:rFonts w:ascii="Arial" w:eastAsia="Calibri" w:hAnsi="Arial" w:cs="Arial"/>
          <w:b/>
          <w:lang w:eastAsia="en-US"/>
        </w:rPr>
      </w:pPr>
      <w:r>
        <w:rPr>
          <w:rFonts w:ascii="Arial" w:hAnsi="Arial" w:cs="Arial"/>
          <w:b/>
        </w:rPr>
        <w:br w:type="page"/>
      </w:r>
    </w:p>
    <w:p w14:paraId="1CDCD502" w14:textId="162B9C10" w:rsidR="00B84B04" w:rsidRPr="00153E8A" w:rsidRDefault="00B02561" w:rsidP="00B84B04">
      <w:pPr>
        <w:pStyle w:val="Tekstzonderopmaak"/>
        <w:rPr>
          <w:rFonts w:ascii="Arial" w:hAnsi="Arial" w:cs="Arial"/>
          <w:b/>
          <w:sz w:val="20"/>
          <w:szCs w:val="20"/>
        </w:rPr>
      </w:pPr>
      <w:r>
        <w:rPr>
          <w:rFonts w:ascii="Arial" w:hAnsi="Arial" w:cs="Arial"/>
          <w:b/>
          <w:sz w:val="20"/>
          <w:szCs w:val="20"/>
        </w:rPr>
        <w:lastRenderedPageBreak/>
        <w:t>2.2</w:t>
      </w:r>
      <w:r>
        <w:rPr>
          <w:rFonts w:ascii="Arial" w:hAnsi="Arial" w:cs="Arial"/>
          <w:b/>
          <w:sz w:val="20"/>
          <w:szCs w:val="20"/>
        </w:rPr>
        <w:tab/>
      </w:r>
      <w:r w:rsidR="00B84B04" w:rsidRPr="00153E8A">
        <w:rPr>
          <w:rFonts w:ascii="Arial" w:hAnsi="Arial" w:cs="Arial"/>
          <w:b/>
          <w:sz w:val="20"/>
          <w:szCs w:val="20"/>
        </w:rPr>
        <w:t>Nieuwe Initiatieven</w:t>
      </w:r>
    </w:p>
    <w:p w14:paraId="5EE47565" w14:textId="185A8033" w:rsidR="00B84B04" w:rsidRPr="00153E8A" w:rsidRDefault="00B84B04" w:rsidP="00B84B04">
      <w:pPr>
        <w:pStyle w:val="Tekstzonderopmaak"/>
        <w:rPr>
          <w:rFonts w:ascii="Arial" w:hAnsi="Arial" w:cs="Arial"/>
          <w:sz w:val="20"/>
          <w:szCs w:val="20"/>
        </w:rPr>
      </w:pPr>
      <w:r w:rsidRPr="00153E8A">
        <w:rPr>
          <w:rFonts w:ascii="Arial" w:hAnsi="Arial" w:cs="Arial"/>
          <w:sz w:val="20"/>
          <w:szCs w:val="20"/>
        </w:rPr>
        <w:t xml:space="preserve">In aanvulling op het bestaande instrumentarium zijn en worden </w:t>
      </w:r>
      <w:r w:rsidR="001A0A67">
        <w:rPr>
          <w:rFonts w:ascii="Arial" w:hAnsi="Arial" w:cs="Arial"/>
          <w:sz w:val="20"/>
          <w:szCs w:val="20"/>
        </w:rPr>
        <w:t xml:space="preserve">de volgende </w:t>
      </w:r>
      <w:r w:rsidRPr="00153E8A">
        <w:rPr>
          <w:rFonts w:ascii="Arial" w:hAnsi="Arial" w:cs="Arial"/>
          <w:sz w:val="20"/>
          <w:szCs w:val="20"/>
        </w:rPr>
        <w:t>initiatieven ontwikkeld en uitgewerkt</w:t>
      </w:r>
      <w:r w:rsidR="009E3CF6" w:rsidRPr="009E3CF6">
        <w:rPr>
          <w:rFonts w:ascii="Arial" w:hAnsi="Arial" w:cs="Arial"/>
          <w:sz w:val="20"/>
          <w:szCs w:val="20"/>
        </w:rPr>
        <w:t xml:space="preserve"> </w:t>
      </w:r>
      <w:r w:rsidR="009E3CF6">
        <w:rPr>
          <w:rFonts w:ascii="Arial" w:hAnsi="Arial" w:cs="Arial"/>
          <w:sz w:val="20"/>
          <w:szCs w:val="20"/>
        </w:rPr>
        <w:t>om te komen tot een reductie van het bestand</w:t>
      </w:r>
      <w:r w:rsidR="009E3CF6" w:rsidRPr="00153E8A">
        <w:rPr>
          <w:rFonts w:ascii="Arial" w:hAnsi="Arial" w:cs="Arial"/>
          <w:sz w:val="20"/>
          <w:szCs w:val="20"/>
        </w:rPr>
        <w:t>:</w:t>
      </w:r>
    </w:p>
    <w:p w14:paraId="7D7886B5" w14:textId="77777777" w:rsidR="00B84B04" w:rsidRPr="00153E8A" w:rsidRDefault="00B84B04" w:rsidP="00B84B04">
      <w:pPr>
        <w:pStyle w:val="Tekstzonderopmaak"/>
        <w:rPr>
          <w:rFonts w:ascii="Arial" w:hAnsi="Arial" w:cs="Arial"/>
          <w:sz w:val="20"/>
          <w:szCs w:val="20"/>
        </w:rPr>
      </w:pPr>
    </w:p>
    <w:p w14:paraId="13D4BC34" w14:textId="77777777" w:rsidR="00B84B04" w:rsidRPr="00153E8A" w:rsidRDefault="00B84B04" w:rsidP="00B84B04">
      <w:pPr>
        <w:numPr>
          <w:ilvl w:val="0"/>
          <w:numId w:val="4"/>
        </w:numPr>
        <w:tabs>
          <w:tab w:val="left" w:pos="426"/>
        </w:tabs>
        <w:ind w:left="0" w:firstLine="0"/>
        <w:rPr>
          <w:rFonts w:ascii="Arial" w:eastAsia="Calibri" w:hAnsi="Arial" w:cs="Arial"/>
          <w:i/>
          <w:lang w:eastAsia="en-US"/>
        </w:rPr>
      </w:pPr>
      <w:r w:rsidRPr="00153E8A">
        <w:rPr>
          <w:rFonts w:ascii="Arial" w:eastAsia="Calibri" w:hAnsi="Arial" w:cs="Arial"/>
          <w:i/>
          <w:lang w:eastAsia="en-US"/>
        </w:rPr>
        <w:t>Inzet om instroom te voorkomen</w:t>
      </w:r>
    </w:p>
    <w:p w14:paraId="6344C079" w14:textId="77777777" w:rsidR="00B84B04" w:rsidRPr="00153E8A" w:rsidRDefault="00B84B04" w:rsidP="00B84B04">
      <w:pPr>
        <w:numPr>
          <w:ilvl w:val="0"/>
          <w:numId w:val="5"/>
        </w:numPr>
        <w:tabs>
          <w:tab w:val="left" w:pos="426"/>
        </w:tabs>
        <w:rPr>
          <w:rFonts w:ascii="Arial" w:eastAsia="Calibri" w:hAnsi="Arial" w:cs="Arial"/>
          <w:lang w:eastAsia="en-US"/>
        </w:rPr>
      </w:pPr>
      <w:r w:rsidRPr="00153E8A">
        <w:rPr>
          <w:rFonts w:ascii="Arial" w:eastAsia="Calibri" w:hAnsi="Arial" w:cs="Arial"/>
          <w:lang w:eastAsia="en-US"/>
        </w:rPr>
        <w:t>Poortfunctie</w:t>
      </w:r>
    </w:p>
    <w:p w14:paraId="5F98DAE4" w14:textId="77777777" w:rsidR="00B84B04" w:rsidRPr="00153E8A" w:rsidRDefault="00B84B04" w:rsidP="00B84B04">
      <w:pPr>
        <w:numPr>
          <w:ilvl w:val="0"/>
          <w:numId w:val="5"/>
        </w:numPr>
        <w:tabs>
          <w:tab w:val="left" w:pos="426"/>
        </w:tabs>
        <w:rPr>
          <w:rFonts w:ascii="Arial" w:eastAsia="Calibri" w:hAnsi="Arial" w:cs="Arial"/>
          <w:lang w:eastAsia="en-US"/>
        </w:rPr>
      </w:pPr>
      <w:r w:rsidRPr="00153E8A">
        <w:rPr>
          <w:rFonts w:ascii="Arial" w:eastAsia="Calibri" w:hAnsi="Arial" w:cs="Arial"/>
          <w:lang w:eastAsia="en-US"/>
        </w:rPr>
        <w:t>Startersbeurs</w:t>
      </w:r>
    </w:p>
    <w:p w14:paraId="06123D1D" w14:textId="77777777" w:rsidR="00B84B04" w:rsidRPr="00153E8A" w:rsidRDefault="00B84B04" w:rsidP="00B84B04">
      <w:pPr>
        <w:rPr>
          <w:rFonts w:ascii="Arial" w:eastAsia="Calibri" w:hAnsi="Arial" w:cs="Arial"/>
          <w:lang w:eastAsia="en-US"/>
        </w:rPr>
      </w:pPr>
    </w:p>
    <w:p w14:paraId="04BF44AD" w14:textId="77777777" w:rsidR="00B84B04" w:rsidRPr="00153E8A" w:rsidRDefault="00B84B04" w:rsidP="00B84B04">
      <w:pPr>
        <w:numPr>
          <w:ilvl w:val="0"/>
          <w:numId w:val="4"/>
        </w:numPr>
        <w:tabs>
          <w:tab w:val="left" w:pos="426"/>
        </w:tabs>
        <w:ind w:left="0" w:firstLine="0"/>
        <w:rPr>
          <w:rFonts w:ascii="Arial" w:eastAsia="Calibri" w:hAnsi="Arial" w:cs="Arial"/>
          <w:i/>
          <w:lang w:eastAsia="en-US"/>
        </w:rPr>
      </w:pPr>
      <w:r w:rsidRPr="00153E8A">
        <w:rPr>
          <w:rFonts w:ascii="Arial" w:eastAsia="Calibri" w:hAnsi="Arial" w:cs="Arial"/>
          <w:i/>
          <w:lang w:eastAsia="en-US"/>
        </w:rPr>
        <w:t>Uitstroomvergrotende inzet</w:t>
      </w:r>
    </w:p>
    <w:p w14:paraId="41F29F44" w14:textId="77777777" w:rsidR="00B84B04" w:rsidRPr="00153E8A" w:rsidRDefault="00B84B04" w:rsidP="00B84B04">
      <w:pPr>
        <w:numPr>
          <w:ilvl w:val="0"/>
          <w:numId w:val="6"/>
        </w:numPr>
        <w:tabs>
          <w:tab w:val="left" w:pos="426"/>
        </w:tabs>
        <w:ind w:left="709" w:hanging="283"/>
        <w:rPr>
          <w:rFonts w:ascii="Arial" w:eastAsia="Calibri" w:hAnsi="Arial" w:cs="Arial"/>
          <w:lang w:eastAsia="en-US"/>
        </w:rPr>
      </w:pPr>
      <w:r w:rsidRPr="00153E8A">
        <w:rPr>
          <w:rFonts w:ascii="Arial" w:eastAsia="Calibri" w:hAnsi="Arial" w:cs="Arial"/>
          <w:lang w:eastAsia="en-US"/>
        </w:rPr>
        <w:t>Baanbonus</w:t>
      </w:r>
    </w:p>
    <w:p w14:paraId="13D4DC3B" w14:textId="77777777" w:rsidR="00B84B04" w:rsidRDefault="00B84B04" w:rsidP="00B84B04">
      <w:pPr>
        <w:numPr>
          <w:ilvl w:val="0"/>
          <w:numId w:val="6"/>
        </w:numPr>
        <w:tabs>
          <w:tab w:val="left" w:pos="426"/>
        </w:tabs>
        <w:ind w:left="709" w:hanging="283"/>
        <w:rPr>
          <w:rFonts w:ascii="Arial" w:eastAsia="Calibri" w:hAnsi="Arial" w:cs="Arial"/>
          <w:lang w:eastAsia="en-US"/>
        </w:rPr>
      </w:pPr>
      <w:r w:rsidRPr="00153E8A">
        <w:rPr>
          <w:rFonts w:ascii="Arial" w:eastAsia="Calibri" w:hAnsi="Arial" w:cs="Arial"/>
          <w:lang w:eastAsia="en-US"/>
        </w:rPr>
        <w:t>Detachering</w:t>
      </w:r>
    </w:p>
    <w:p w14:paraId="2326090A" w14:textId="349B7A09" w:rsidR="00E940DD" w:rsidRPr="00D863CB" w:rsidRDefault="00E940DD" w:rsidP="004E6F39">
      <w:pPr>
        <w:numPr>
          <w:ilvl w:val="0"/>
          <w:numId w:val="6"/>
        </w:numPr>
        <w:tabs>
          <w:tab w:val="left" w:pos="426"/>
        </w:tabs>
        <w:ind w:left="709" w:hanging="283"/>
        <w:rPr>
          <w:rFonts w:ascii="Arial" w:eastAsia="Calibri" w:hAnsi="Arial" w:cs="Arial"/>
          <w:lang w:eastAsia="en-US"/>
        </w:rPr>
      </w:pPr>
      <w:r>
        <w:rPr>
          <w:rFonts w:ascii="Arial" w:eastAsia="Calibri" w:hAnsi="Arial" w:cs="Arial"/>
          <w:lang w:eastAsia="en-US"/>
        </w:rPr>
        <w:t>Maatwerk en focus nieuwe aanpak statushouders</w:t>
      </w:r>
    </w:p>
    <w:p w14:paraId="681185D1" w14:textId="77777777" w:rsidR="00B84B04" w:rsidRPr="00153E8A" w:rsidRDefault="00B84B04" w:rsidP="00B84B04">
      <w:pPr>
        <w:rPr>
          <w:rFonts w:ascii="Arial" w:eastAsia="Calibri" w:hAnsi="Arial" w:cs="Arial"/>
          <w:lang w:eastAsia="en-US"/>
        </w:rPr>
      </w:pPr>
    </w:p>
    <w:p w14:paraId="0347A096" w14:textId="77777777" w:rsidR="00B84B04" w:rsidRPr="00153E8A" w:rsidRDefault="00B84B04" w:rsidP="00B84B04">
      <w:pPr>
        <w:pStyle w:val="Lijstalinea"/>
        <w:numPr>
          <w:ilvl w:val="0"/>
          <w:numId w:val="4"/>
        </w:numPr>
        <w:rPr>
          <w:rFonts w:cs="Arial"/>
          <w:i/>
          <w:color w:val="000000"/>
          <w:szCs w:val="20"/>
          <w:u w:color="000000"/>
        </w:rPr>
      </w:pPr>
      <w:r w:rsidRPr="00153E8A">
        <w:rPr>
          <w:rFonts w:cs="Arial"/>
          <w:i/>
          <w:color w:val="000000"/>
          <w:szCs w:val="20"/>
          <w:u w:color="000000"/>
        </w:rPr>
        <w:t>Initiatieven in onderzoek</w:t>
      </w:r>
    </w:p>
    <w:p w14:paraId="6DE83F0E" w14:textId="77777777" w:rsidR="00B84B04" w:rsidRPr="00153E8A" w:rsidRDefault="00B84B04" w:rsidP="00B84B04">
      <w:pPr>
        <w:pStyle w:val="Tekstzonderopmaak"/>
        <w:numPr>
          <w:ilvl w:val="0"/>
          <w:numId w:val="9"/>
        </w:numPr>
        <w:tabs>
          <w:tab w:val="left" w:pos="993"/>
        </w:tabs>
        <w:rPr>
          <w:rFonts w:ascii="Arial" w:hAnsi="Arial" w:cs="Arial"/>
          <w:sz w:val="20"/>
          <w:szCs w:val="20"/>
        </w:rPr>
      </w:pPr>
      <w:r w:rsidRPr="00153E8A">
        <w:rPr>
          <w:rFonts w:ascii="Arial" w:hAnsi="Arial" w:cs="Arial"/>
          <w:sz w:val="20"/>
          <w:szCs w:val="20"/>
        </w:rPr>
        <w:t>Pilot parttime ondernemerschap</w:t>
      </w:r>
    </w:p>
    <w:p w14:paraId="01C7EE82" w14:textId="77777777" w:rsidR="00B84B04" w:rsidRPr="00153E8A" w:rsidRDefault="00B84B04" w:rsidP="00B84B04">
      <w:pPr>
        <w:pStyle w:val="Tekstzonderopmaak"/>
        <w:numPr>
          <w:ilvl w:val="0"/>
          <w:numId w:val="9"/>
        </w:numPr>
        <w:tabs>
          <w:tab w:val="left" w:pos="993"/>
        </w:tabs>
        <w:rPr>
          <w:rFonts w:ascii="Arial" w:hAnsi="Arial" w:cs="Arial"/>
          <w:sz w:val="20"/>
          <w:szCs w:val="20"/>
        </w:rPr>
      </w:pPr>
      <w:r w:rsidRPr="00153E8A">
        <w:rPr>
          <w:rFonts w:ascii="Arial" w:hAnsi="Arial" w:cs="Arial"/>
          <w:sz w:val="20"/>
          <w:szCs w:val="20"/>
        </w:rPr>
        <w:t>Inzet Max WW</w:t>
      </w:r>
    </w:p>
    <w:p w14:paraId="64B45DB4" w14:textId="77777777" w:rsidR="00B84B04" w:rsidRDefault="00B84B04"/>
    <w:p w14:paraId="6612A3D9" w14:textId="09BC64FA" w:rsidR="00F825E8" w:rsidRPr="006A3D0F" w:rsidRDefault="00F825E8">
      <w:pPr>
        <w:rPr>
          <w:rFonts w:ascii="Arial" w:hAnsi="Arial" w:cs="Arial"/>
        </w:rPr>
      </w:pPr>
      <w:r w:rsidRPr="006A3D0F">
        <w:rPr>
          <w:rFonts w:ascii="Arial" w:hAnsi="Arial" w:cs="Arial"/>
        </w:rPr>
        <w:t>In bijlage 1 is een financieel overzicht voor de jaren 2016 tot en met 2019 opgenomen.</w:t>
      </w:r>
    </w:p>
    <w:p w14:paraId="5F1AA1C7" w14:textId="77777777" w:rsidR="009250D3" w:rsidRDefault="009250D3"/>
    <w:p w14:paraId="1BBD368C" w14:textId="77777777" w:rsidR="009250D3" w:rsidRDefault="009250D3"/>
    <w:p w14:paraId="44E257E0" w14:textId="3A51FD00" w:rsidR="009250D3" w:rsidRDefault="009250D3">
      <w:pPr>
        <w:spacing w:after="160" w:line="259" w:lineRule="auto"/>
      </w:pPr>
      <w:r>
        <w:br w:type="page"/>
      </w:r>
    </w:p>
    <w:p w14:paraId="7DE314BA" w14:textId="54900C87" w:rsidR="009250D3" w:rsidRPr="005120B3" w:rsidRDefault="009250D3">
      <w:pPr>
        <w:rPr>
          <w:rFonts w:ascii="Arial" w:hAnsi="Arial" w:cs="Arial"/>
          <w:b/>
        </w:rPr>
      </w:pPr>
      <w:r w:rsidRPr="005120B3">
        <w:rPr>
          <w:rFonts w:ascii="Arial" w:hAnsi="Arial" w:cs="Arial"/>
          <w:b/>
        </w:rPr>
        <w:lastRenderedPageBreak/>
        <w:t>Bijlage 1: prognose lasten/baten 2016 tot en met 2019</w:t>
      </w:r>
    </w:p>
    <w:tbl>
      <w:tblPr>
        <w:tblW w:w="8780" w:type="dxa"/>
        <w:tblCellMar>
          <w:left w:w="70" w:type="dxa"/>
          <w:right w:w="70" w:type="dxa"/>
        </w:tblCellMar>
        <w:tblLook w:val="04A0" w:firstRow="1" w:lastRow="0" w:firstColumn="1" w:lastColumn="0" w:noHBand="0" w:noVBand="1"/>
      </w:tblPr>
      <w:tblGrid>
        <w:gridCol w:w="3280"/>
        <w:gridCol w:w="1375"/>
        <w:gridCol w:w="1375"/>
        <w:gridCol w:w="1375"/>
        <w:gridCol w:w="1375"/>
      </w:tblGrid>
      <w:tr w:rsidR="00DE0FCB" w:rsidRPr="00DE0FCB" w14:paraId="742D1861" w14:textId="77777777" w:rsidTr="00DE0FCB">
        <w:trPr>
          <w:trHeight w:val="300"/>
        </w:trPr>
        <w:tc>
          <w:tcPr>
            <w:tcW w:w="3280" w:type="dxa"/>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7E55A224" w14:textId="77777777" w:rsidR="00DE0FCB" w:rsidRPr="00DE0FCB" w:rsidRDefault="00DE0FCB" w:rsidP="00DE0FCB">
            <w:pPr>
              <w:rPr>
                <w:rFonts w:ascii="Arial" w:hAnsi="Arial" w:cs="Arial"/>
                <w:b/>
                <w:bCs/>
              </w:rPr>
            </w:pPr>
            <w:r w:rsidRPr="00DE0FCB">
              <w:rPr>
                <w:rFonts w:ascii="Arial" w:hAnsi="Arial" w:cs="Arial"/>
                <w:b/>
                <w:bCs/>
              </w:rPr>
              <w:t>Bijstand / IIB</w:t>
            </w:r>
          </w:p>
        </w:tc>
        <w:tc>
          <w:tcPr>
            <w:tcW w:w="5500" w:type="dxa"/>
            <w:gridSpan w:val="4"/>
            <w:tcBorders>
              <w:top w:val="single" w:sz="4" w:space="0" w:color="A6A6A6"/>
              <w:left w:val="nil"/>
              <w:bottom w:val="single" w:sz="4" w:space="0" w:color="A6A6A6"/>
              <w:right w:val="nil"/>
            </w:tcBorders>
            <w:shd w:val="clear" w:color="000000" w:fill="D9D9D9"/>
            <w:noWrap/>
            <w:vAlign w:val="bottom"/>
            <w:hideMark/>
          </w:tcPr>
          <w:p w14:paraId="363A431A" w14:textId="77777777" w:rsidR="00DE0FCB" w:rsidRPr="00DE0FCB" w:rsidRDefault="00DE0FCB" w:rsidP="00DE0FCB">
            <w:pPr>
              <w:jc w:val="center"/>
              <w:rPr>
                <w:rFonts w:ascii="Arial" w:hAnsi="Arial" w:cs="Arial"/>
                <w:b/>
                <w:bCs/>
              </w:rPr>
            </w:pPr>
            <w:r w:rsidRPr="00DE0FCB">
              <w:rPr>
                <w:rFonts w:ascii="Arial" w:hAnsi="Arial" w:cs="Arial"/>
                <w:b/>
                <w:bCs/>
              </w:rPr>
              <w:t>Prognose Lasten / Baten Alblasserdam</w:t>
            </w:r>
          </w:p>
        </w:tc>
      </w:tr>
      <w:tr w:rsidR="00DE0FCB" w:rsidRPr="00DE0FCB" w14:paraId="4027CB8C" w14:textId="77777777" w:rsidTr="00DE0FCB">
        <w:trPr>
          <w:trHeight w:val="300"/>
        </w:trPr>
        <w:tc>
          <w:tcPr>
            <w:tcW w:w="3280" w:type="dxa"/>
            <w:tcBorders>
              <w:top w:val="nil"/>
              <w:left w:val="single" w:sz="4" w:space="0" w:color="A6A6A6"/>
              <w:bottom w:val="single" w:sz="4" w:space="0" w:color="A6A6A6"/>
              <w:right w:val="single" w:sz="4" w:space="0" w:color="A6A6A6"/>
            </w:tcBorders>
            <w:shd w:val="clear" w:color="000000" w:fill="D9D9D9"/>
            <w:noWrap/>
            <w:vAlign w:val="bottom"/>
            <w:hideMark/>
          </w:tcPr>
          <w:p w14:paraId="010D3C93" w14:textId="77777777" w:rsidR="00DE0FCB" w:rsidRPr="00DE0FCB" w:rsidRDefault="00DE0FCB" w:rsidP="00DE0FCB">
            <w:pPr>
              <w:rPr>
                <w:rFonts w:ascii="Arial" w:hAnsi="Arial" w:cs="Arial"/>
                <w:b/>
                <w:bCs/>
              </w:rPr>
            </w:pPr>
            <w:r w:rsidRPr="00DE0FCB">
              <w:rPr>
                <w:rFonts w:ascii="Arial" w:hAnsi="Arial" w:cs="Arial"/>
                <w:b/>
                <w:bCs/>
              </w:rPr>
              <w:t> </w:t>
            </w:r>
          </w:p>
        </w:tc>
        <w:tc>
          <w:tcPr>
            <w:tcW w:w="1375" w:type="dxa"/>
            <w:tcBorders>
              <w:top w:val="nil"/>
              <w:left w:val="nil"/>
              <w:bottom w:val="single" w:sz="4" w:space="0" w:color="A6A6A6"/>
              <w:right w:val="single" w:sz="4" w:space="0" w:color="A6A6A6"/>
            </w:tcBorders>
            <w:shd w:val="clear" w:color="000000" w:fill="D9D9D9"/>
            <w:noWrap/>
            <w:vAlign w:val="bottom"/>
            <w:hideMark/>
          </w:tcPr>
          <w:p w14:paraId="73D98647" w14:textId="77777777" w:rsidR="00DE0FCB" w:rsidRPr="00DE0FCB" w:rsidRDefault="00DE0FCB" w:rsidP="00DE0FCB">
            <w:pPr>
              <w:jc w:val="center"/>
              <w:rPr>
                <w:rFonts w:ascii="Arial" w:hAnsi="Arial" w:cs="Arial"/>
                <w:b/>
                <w:bCs/>
              </w:rPr>
            </w:pPr>
            <w:r w:rsidRPr="00DE0FCB">
              <w:rPr>
                <w:rFonts w:ascii="Arial" w:hAnsi="Arial" w:cs="Arial"/>
                <w:b/>
                <w:bCs/>
              </w:rPr>
              <w:t>2016</w:t>
            </w:r>
          </w:p>
        </w:tc>
        <w:tc>
          <w:tcPr>
            <w:tcW w:w="1375" w:type="dxa"/>
            <w:tcBorders>
              <w:top w:val="nil"/>
              <w:left w:val="nil"/>
              <w:bottom w:val="single" w:sz="4" w:space="0" w:color="A6A6A6"/>
              <w:right w:val="single" w:sz="4" w:space="0" w:color="A6A6A6"/>
            </w:tcBorders>
            <w:shd w:val="clear" w:color="000000" w:fill="D9D9D9"/>
            <w:noWrap/>
            <w:vAlign w:val="bottom"/>
            <w:hideMark/>
          </w:tcPr>
          <w:p w14:paraId="7B013871" w14:textId="77777777" w:rsidR="00DE0FCB" w:rsidRPr="00DE0FCB" w:rsidRDefault="00DE0FCB" w:rsidP="00DE0FCB">
            <w:pPr>
              <w:jc w:val="center"/>
              <w:rPr>
                <w:rFonts w:ascii="Arial" w:hAnsi="Arial" w:cs="Arial"/>
                <w:b/>
                <w:bCs/>
              </w:rPr>
            </w:pPr>
            <w:r w:rsidRPr="00DE0FCB">
              <w:rPr>
                <w:rFonts w:ascii="Arial" w:hAnsi="Arial" w:cs="Arial"/>
                <w:b/>
                <w:bCs/>
              </w:rPr>
              <w:t>2017</w:t>
            </w:r>
          </w:p>
        </w:tc>
        <w:tc>
          <w:tcPr>
            <w:tcW w:w="1375" w:type="dxa"/>
            <w:tcBorders>
              <w:top w:val="nil"/>
              <w:left w:val="nil"/>
              <w:bottom w:val="single" w:sz="4" w:space="0" w:color="A6A6A6"/>
              <w:right w:val="single" w:sz="4" w:space="0" w:color="A6A6A6"/>
            </w:tcBorders>
            <w:shd w:val="clear" w:color="000000" w:fill="D9D9D9"/>
            <w:noWrap/>
            <w:vAlign w:val="bottom"/>
            <w:hideMark/>
          </w:tcPr>
          <w:p w14:paraId="78DF4CF2" w14:textId="77777777" w:rsidR="00DE0FCB" w:rsidRPr="00DE0FCB" w:rsidRDefault="00DE0FCB" w:rsidP="00DE0FCB">
            <w:pPr>
              <w:jc w:val="center"/>
              <w:rPr>
                <w:rFonts w:ascii="Arial" w:hAnsi="Arial" w:cs="Arial"/>
                <w:b/>
                <w:bCs/>
              </w:rPr>
            </w:pPr>
            <w:r w:rsidRPr="00DE0FCB">
              <w:rPr>
                <w:rFonts w:ascii="Arial" w:hAnsi="Arial" w:cs="Arial"/>
                <w:b/>
                <w:bCs/>
              </w:rPr>
              <w:t>2018</w:t>
            </w:r>
          </w:p>
        </w:tc>
        <w:tc>
          <w:tcPr>
            <w:tcW w:w="1375" w:type="dxa"/>
            <w:tcBorders>
              <w:top w:val="nil"/>
              <w:left w:val="nil"/>
              <w:bottom w:val="single" w:sz="4" w:space="0" w:color="A6A6A6"/>
              <w:right w:val="single" w:sz="4" w:space="0" w:color="A6A6A6"/>
            </w:tcBorders>
            <w:shd w:val="clear" w:color="000000" w:fill="D9D9D9"/>
            <w:noWrap/>
            <w:vAlign w:val="bottom"/>
            <w:hideMark/>
          </w:tcPr>
          <w:p w14:paraId="2997D088" w14:textId="77777777" w:rsidR="00DE0FCB" w:rsidRPr="00DE0FCB" w:rsidRDefault="00DE0FCB" w:rsidP="00DE0FCB">
            <w:pPr>
              <w:jc w:val="center"/>
              <w:rPr>
                <w:rFonts w:ascii="Arial" w:hAnsi="Arial" w:cs="Arial"/>
                <w:b/>
                <w:bCs/>
              </w:rPr>
            </w:pPr>
            <w:r w:rsidRPr="00DE0FCB">
              <w:rPr>
                <w:rFonts w:ascii="Arial" w:hAnsi="Arial" w:cs="Arial"/>
                <w:b/>
                <w:bCs/>
              </w:rPr>
              <w:t>2019</w:t>
            </w:r>
          </w:p>
        </w:tc>
      </w:tr>
      <w:tr w:rsidR="00DE0FCB" w:rsidRPr="00DE0FCB" w14:paraId="7CE71203"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51B8810A" w14:textId="77777777" w:rsidR="00DE0FCB" w:rsidRPr="00DE0FCB" w:rsidRDefault="00DE0FCB" w:rsidP="00DE0FCB">
            <w:pPr>
              <w:rPr>
                <w:rFonts w:ascii="Arial" w:hAnsi="Arial" w:cs="Arial"/>
              </w:rPr>
            </w:pPr>
            <w:r w:rsidRPr="00DE0FCB">
              <w:rPr>
                <w:rFonts w:ascii="Arial" w:hAnsi="Arial" w:cs="Arial"/>
              </w:rPr>
              <w:t>Uitgaven Bijstand</w:t>
            </w:r>
          </w:p>
        </w:tc>
        <w:tc>
          <w:tcPr>
            <w:tcW w:w="1375" w:type="dxa"/>
            <w:tcBorders>
              <w:top w:val="nil"/>
              <w:left w:val="nil"/>
              <w:bottom w:val="nil"/>
              <w:right w:val="nil"/>
            </w:tcBorders>
            <w:shd w:val="clear" w:color="000000" w:fill="FFFFFF"/>
            <w:noWrap/>
            <w:vAlign w:val="bottom"/>
            <w:hideMark/>
          </w:tcPr>
          <w:p w14:paraId="2E3B4BE7"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4.337.960</w:t>
            </w:r>
          </w:p>
        </w:tc>
        <w:tc>
          <w:tcPr>
            <w:tcW w:w="1375" w:type="dxa"/>
            <w:tcBorders>
              <w:top w:val="nil"/>
              <w:left w:val="nil"/>
              <w:bottom w:val="nil"/>
              <w:right w:val="nil"/>
            </w:tcBorders>
            <w:shd w:val="clear" w:color="000000" w:fill="FFFFFF"/>
            <w:noWrap/>
            <w:vAlign w:val="bottom"/>
            <w:hideMark/>
          </w:tcPr>
          <w:p w14:paraId="33DBACA5"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4.390.225</w:t>
            </w:r>
          </w:p>
        </w:tc>
        <w:tc>
          <w:tcPr>
            <w:tcW w:w="1375" w:type="dxa"/>
            <w:tcBorders>
              <w:top w:val="nil"/>
              <w:left w:val="nil"/>
              <w:bottom w:val="nil"/>
              <w:right w:val="nil"/>
            </w:tcBorders>
            <w:shd w:val="clear" w:color="000000" w:fill="FFFFFF"/>
            <w:noWrap/>
            <w:vAlign w:val="bottom"/>
            <w:hideMark/>
          </w:tcPr>
          <w:p w14:paraId="0D7AF39C"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4.494.754</w:t>
            </w:r>
          </w:p>
        </w:tc>
        <w:tc>
          <w:tcPr>
            <w:tcW w:w="1375" w:type="dxa"/>
            <w:tcBorders>
              <w:top w:val="nil"/>
              <w:left w:val="nil"/>
              <w:bottom w:val="nil"/>
              <w:right w:val="nil"/>
            </w:tcBorders>
            <w:shd w:val="clear" w:color="000000" w:fill="FFFFFF"/>
            <w:noWrap/>
            <w:vAlign w:val="bottom"/>
            <w:hideMark/>
          </w:tcPr>
          <w:p w14:paraId="40E06DF4"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4.547.018</w:t>
            </w:r>
          </w:p>
        </w:tc>
      </w:tr>
      <w:tr w:rsidR="00DE0FCB" w:rsidRPr="00DE0FCB" w14:paraId="29D6ED39"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47AAFE44" w14:textId="77777777" w:rsidR="00DE0FCB" w:rsidRPr="00DE0FCB" w:rsidRDefault="00DE0FCB" w:rsidP="00DE0FCB">
            <w:pPr>
              <w:rPr>
                <w:rFonts w:ascii="Arial" w:hAnsi="Arial" w:cs="Arial"/>
              </w:rPr>
            </w:pPr>
            <w:r w:rsidRPr="00DE0FCB">
              <w:rPr>
                <w:rFonts w:ascii="Arial" w:hAnsi="Arial" w:cs="Arial"/>
              </w:rPr>
              <w:t>Uitgaven IOAW</w:t>
            </w:r>
          </w:p>
        </w:tc>
        <w:tc>
          <w:tcPr>
            <w:tcW w:w="1375" w:type="dxa"/>
            <w:tcBorders>
              <w:top w:val="nil"/>
              <w:left w:val="nil"/>
              <w:bottom w:val="nil"/>
              <w:right w:val="nil"/>
            </w:tcBorders>
            <w:shd w:val="clear" w:color="000000" w:fill="FFFFFF"/>
            <w:noWrap/>
            <w:vAlign w:val="bottom"/>
            <w:hideMark/>
          </w:tcPr>
          <w:p w14:paraId="05E9563E"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168.387</w:t>
            </w:r>
          </w:p>
        </w:tc>
        <w:tc>
          <w:tcPr>
            <w:tcW w:w="1375" w:type="dxa"/>
            <w:tcBorders>
              <w:top w:val="nil"/>
              <w:left w:val="nil"/>
              <w:bottom w:val="nil"/>
              <w:right w:val="nil"/>
            </w:tcBorders>
            <w:shd w:val="clear" w:color="000000" w:fill="FFFFFF"/>
            <w:noWrap/>
            <w:vAlign w:val="bottom"/>
            <w:hideMark/>
          </w:tcPr>
          <w:p w14:paraId="639E2C56"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170.416</w:t>
            </w:r>
          </w:p>
        </w:tc>
        <w:tc>
          <w:tcPr>
            <w:tcW w:w="1375" w:type="dxa"/>
            <w:tcBorders>
              <w:top w:val="nil"/>
              <w:left w:val="nil"/>
              <w:bottom w:val="nil"/>
              <w:right w:val="nil"/>
            </w:tcBorders>
            <w:shd w:val="clear" w:color="000000" w:fill="FFFFFF"/>
            <w:noWrap/>
            <w:vAlign w:val="bottom"/>
            <w:hideMark/>
          </w:tcPr>
          <w:p w14:paraId="4617D8B3"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174.474</w:t>
            </w:r>
          </w:p>
        </w:tc>
        <w:tc>
          <w:tcPr>
            <w:tcW w:w="1375" w:type="dxa"/>
            <w:tcBorders>
              <w:top w:val="nil"/>
              <w:left w:val="nil"/>
              <w:bottom w:val="nil"/>
              <w:right w:val="nil"/>
            </w:tcBorders>
            <w:shd w:val="clear" w:color="000000" w:fill="FFFFFF"/>
            <w:noWrap/>
            <w:vAlign w:val="bottom"/>
            <w:hideMark/>
          </w:tcPr>
          <w:p w14:paraId="1BE135BA"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176.502</w:t>
            </w:r>
          </w:p>
        </w:tc>
      </w:tr>
      <w:tr w:rsidR="00DE0FCB" w:rsidRPr="00DE0FCB" w14:paraId="138FB151"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35577694" w14:textId="77777777" w:rsidR="00DE0FCB" w:rsidRPr="00DE0FCB" w:rsidRDefault="00DE0FCB" w:rsidP="00DE0FCB">
            <w:pPr>
              <w:rPr>
                <w:rFonts w:ascii="Arial" w:hAnsi="Arial" w:cs="Arial"/>
              </w:rPr>
            </w:pPr>
            <w:r w:rsidRPr="00DE0FCB">
              <w:rPr>
                <w:rFonts w:ascii="Arial" w:hAnsi="Arial" w:cs="Arial"/>
              </w:rPr>
              <w:t>Uitgaven IOAZ</w:t>
            </w:r>
          </w:p>
        </w:tc>
        <w:tc>
          <w:tcPr>
            <w:tcW w:w="1375" w:type="dxa"/>
            <w:tcBorders>
              <w:top w:val="nil"/>
              <w:left w:val="nil"/>
              <w:bottom w:val="nil"/>
              <w:right w:val="nil"/>
            </w:tcBorders>
            <w:shd w:val="clear" w:color="000000" w:fill="FFFFFF"/>
            <w:noWrap/>
            <w:vAlign w:val="bottom"/>
            <w:hideMark/>
          </w:tcPr>
          <w:p w14:paraId="776CE18E"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271603F7"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12A2EC7B"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0F56E4AE"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r>
      <w:tr w:rsidR="00DE0FCB" w:rsidRPr="00DE0FCB" w14:paraId="1272D215"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0A923C8E" w14:textId="77777777" w:rsidR="00DE0FCB" w:rsidRPr="00DE0FCB" w:rsidRDefault="00DE0FCB" w:rsidP="00DE0FCB">
            <w:pPr>
              <w:rPr>
                <w:rFonts w:ascii="Arial" w:hAnsi="Arial" w:cs="Arial"/>
              </w:rPr>
            </w:pPr>
            <w:r w:rsidRPr="00DE0FCB">
              <w:rPr>
                <w:rFonts w:ascii="Arial" w:hAnsi="Arial" w:cs="Arial"/>
              </w:rPr>
              <w:t>Uitgaven BBZ levensonderhoud</w:t>
            </w:r>
          </w:p>
        </w:tc>
        <w:tc>
          <w:tcPr>
            <w:tcW w:w="1375" w:type="dxa"/>
            <w:tcBorders>
              <w:top w:val="nil"/>
              <w:left w:val="nil"/>
              <w:bottom w:val="nil"/>
              <w:right w:val="nil"/>
            </w:tcBorders>
            <w:shd w:val="clear" w:color="000000" w:fill="FFFFFF"/>
            <w:noWrap/>
            <w:vAlign w:val="bottom"/>
            <w:hideMark/>
          </w:tcPr>
          <w:p w14:paraId="2729DC0B"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40.035</w:t>
            </w:r>
          </w:p>
        </w:tc>
        <w:tc>
          <w:tcPr>
            <w:tcW w:w="1375" w:type="dxa"/>
            <w:tcBorders>
              <w:top w:val="nil"/>
              <w:left w:val="nil"/>
              <w:bottom w:val="nil"/>
              <w:right w:val="nil"/>
            </w:tcBorders>
            <w:shd w:val="clear" w:color="000000" w:fill="FFFFFF"/>
            <w:noWrap/>
            <w:vAlign w:val="bottom"/>
            <w:hideMark/>
          </w:tcPr>
          <w:p w14:paraId="0BEB5E47"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40.518</w:t>
            </w:r>
          </w:p>
        </w:tc>
        <w:tc>
          <w:tcPr>
            <w:tcW w:w="1375" w:type="dxa"/>
            <w:tcBorders>
              <w:top w:val="nil"/>
              <w:left w:val="nil"/>
              <w:bottom w:val="nil"/>
              <w:right w:val="nil"/>
            </w:tcBorders>
            <w:shd w:val="clear" w:color="000000" w:fill="FFFFFF"/>
            <w:noWrap/>
            <w:vAlign w:val="bottom"/>
            <w:hideMark/>
          </w:tcPr>
          <w:p w14:paraId="5F8C79D2"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41.482</w:t>
            </w:r>
          </w:p>
        </w:tc>
        <w:tc>
          <w:tcPr>
            <w:tcW w:w="1375" w:type="dxa"/>
            <w:tcBorders>
              <w:top w:val="nil"/>
              <w:left w:val="nil"/>
              <w:bottom w:val="nil"/>
              <w:right w:val="nil"/>
            </w:tcBorders>
            <w:shd w:val="clear" w:color="000000" w:fill="FFFFFF"/>
            <w:noWrap/>
            <w:vAlign w:val="bottom"/>
            <w:hideMark/>
          </w:tcPr>
          <w:p w14:paraId="2B2A57B0"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41.965</w:t>
            </w:r>
          </w:p>
        </w:tc>
      </w:tr>
      <w:tr w:rsidR="00DE0FCB" w:rsidRPr="00DE0FCB" w14:paraId="16637A1F"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59F22C9F" w14:textId="77777777" w:rsidR="00DE0FCB" w:rsidRPr="00DE0FCB" w:rsidRDefault="00DE0FCB" w:rsidP="00DE0FCB">
            <w:pPr>
              <w:rPr>
                <w:rFonts w:ascii="Arial" w:hAnsi="Arial" w:cs="Arial"/>
              </w:rPr>
            </w:pPr>
            <w:r w:rsidRPr="00DE0FCB">
              <w:rPr>
                <w:rFonts w:ascii="Arial" w:hAnsi="Arial" w:cs="Arial"/>
              </w:rPr>
              <w:t>Uitgaven LKS</w:t>
            </w:r>
          </w:p>
        </w:tc>
        <w:tc>
          <w:tcPr>
            <w:tcW w:w="1375" w:type="dxa"/>
            <w:tcBorders>
              <w:top w:val="nil"/>
              <w:left w:val="nil"/>
              <w:bottom w:val="nil"/>
              <w:right w:val="nil"/>
            </w:tcBorders>
            <w:shd w:val="clear" w:color="000000" w:fill="FFFFFF"/>
            <w:noWrap/>
            <w:vAlign w:val="bottom"/>
            <w:hideMark/>
          </w:tcPr>
          <w:p w14:paraId="3AA6A40F"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35.061</w:t>
            </w:r>
          </w:p>
        </w:tc>
        <w:tc>
          <w:tcPr>
            <w:tcW w:w="1375" w:type="dxa"/>
            <w:tcBorders>
              <w:top w:val="nil"/>
              <w:left w:val="nil"/>
              <w:bottom w:val="nil"/>
              <w:right w:val="nil"/>
            </w:tcBorders>
            <w:shd w:val="clear" w:color="000000" w:fill="FFFFFF"/>
            <w:noWrap/>
            <w:vAlign w:val="bottom"/>
            <w:hideMark/>
          </w:tcPr>
          <w:p w14:paraId="25F09430"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35.483</w:t>
            </w:r>
          </w:p>
        </w:tc>
        <w:tc>
          <w:tcPr>
            <w:tcW w:w="1375" w:type="dxa"/>
            <w:tcBorders>
              <w:top w:val="nil"/>
              <w:left w:val="nil"/>
              <w:bottom w:val="nil"/>
              <w:right w:val="nil"/>
            </w:tcBorders>
            <w:shd w:val="clear" w:color="000000" w:fill="FFFFFF"/>
            <w:noWrap/>
            <w:vAlign w:val="bottom"/>
            <w:hideMark/>
          </w:tcPr>
          <w:p w14:paraId="1971CCE2"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36.328</w:t>
            </w:r>
          </w:p>
        </w:tc>
        <w:tc>
          <w:tcPr>
            <w:tcW w:w="1375" w:type="dxa"/>
            <w:tcBorders>
              <w:top w:val="nil"/>
              <w:left w:val="nil"/>
              <w:bottom w:val="nil"/>
              <w:right w:val="nil"/>
            </w:tcBorders>
            <w:shd w:val="clear" w:color="000000" w:fill="FFFFFF"/>
            <w:noWrap/>
            <w:vAlign w:val="bottom"/>
            <w:hideMark/>
          </w:tcPr>
          <w:p w14:paraId="3DCDAC9B"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36.751</w:t>
            </w:r>
          </w:p>
        </w:tc>
      </w:tr>
      <w:tr w:rsidR="00DE0FCB" w:rsidRPr="00DE0FCB" w14:paraId="31CE3CB3" w14:textId="77777777" w:rsidTr="00DE0FCB">
        <w:trPr>
          <w:trHeight w:val="300"/>
        </w:trPr>
        <w:tc>
          <w:tcPr>
            <w:tcW w:w="3280" w:type="dxa"/>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0150B981" w14:textId="77777777" w:rsidR="00DE0FCB" w:rsidRPr="00DE0FCB" w:rsidRDefault="00DE0FCB" w:rsidP="00DE0FCB">
            <w:pPr>
              <w:rPr>
                <w:rFonts w:ascii="Arial" w:hAnsi="Arial" w:cs="Arial"/>
                <w:b/>
                <w:bCs/>
              </w:rPr>
            </w:pPr>
            <w:r w:rsidRPr="00DE0FCB">
              <w:rPr>
                <w:rFonts w:ascii="Arial" w:hAnsi="Arial" w:cs="Arial"/>
                <w:b/>
                <w:bCs/>
              </w:rPr>
              <w:t>Totaal lasten</w:t>
            </w:r>
          </w:p>
        </w:tc>
        <w:tc>
          <w:tcPr>
            <w:tcW w:w="1375" w:type="dxa"/>
            <w:tcBorders>
              <w:top w:val="single" w:sz="4" w:space="0" w:color="A6A6A6"/>
              <w:left w:val="nil"/>
              <w:bottom w:val="single" w:sz="4" w:space="0" w:color="A6A6A6"/>
              <w:right w:val="single" w:sz="4" w:space="0" w:color="A6A6A6"/>
            </w:tcBorders>
            <w:shd w:val="clear" w:color="000000" w:fill="D9D9D9"/>
            <w:noWrap/>
            <w:vAlign w:val="bottom"/>
            <w:hideMark/>
          </w:tcPr>
          <w:p w14:paraId="10E92CDC" w14:textId="77777777" w:rsidR="00DE0FCB" w:rsidRPr="00DE0FCB" w:rsidRDefault="00DE0FCB" w:rsidP="00DE0FCB">
            <w:pPr>
              <w:jc w:val="right"/>
              <w:rPr>
                <w:rFonts w:ascii="Arial" w:hAnsi="Arial" w:cs="Arial"/>
                <w:b/>
                <w:bCs/>
              </w:rPr>
            </w:pPr>
            <w:r w:rsidRPr="00DE0FCB">
              <w:rPr>
                <w:rFonts w:ascii="Arial" w:hAnsi="Arial" w:cs="Arial"/>
                <w:b/>
                <w:bCs/>
              </w:rPr>
              <w:t xml:space="preserve">4.581.444 </w:t>
            </w:r>
          </w:p>
        </w:tc>
        <w:tc>
          <w:tcPr>
            <w:tcW w:w="1375" w:type="dxa"/>
            <w:tcBorders>
              <w:top w:val="single" w:sz="4" w:space="0" w:color="A6A6A6"/>
              <w:left w:val="nil"/>
              <w:bottom w:val="single" w:sz="4" w:space="0" w:color="A6A6A6"/>
              <w:right w:val="single" w:sz="4" w:space="0" w:color="A6A6A6"/>
            </w:tcBorders>
            <w:shd w:val="clear" w:color="000000" w:fill="D9D9D9"/>
            <w:noWrap/>
            <w:vAlign w:val="bottom"/>
            <w:hideMark/>
          </w:tcPr>
          <w:p w14:paraId="5C6AA0BB" w14:textId="77777777" w:rsidR="00DE0FCB" w:rsidRPr="00DE0FCB" w:rsidRDefault="00DE0FCB" w:rsidP="00DE0FCB">
            <w:pPr>
              <w:jc w:val="right"/>
              <w:rPr>
                <w:rFonts w:ascii="Arial" w:hAnsi="Arial" w:cs="Arial"/>
                <w:b/>
                <w:bCs/>
              </w:rPr>
            </w:pPr>
            <w:r w:rsidRPr="00DE0FCB">
              <w:rPr>
                <w:rFonts w:ascii="Arial" w:hAnsi="Arial" w:cs="Arial"/>
                <w:b/>
                <w:bCs/>
              </w:rPr>
              <w:t xml:space="preserve">4.636.642 </w:t>
            </w:r>
          </w:p>
        </w:tc>
        <w:tc>
          <w:tcPr>
            <w:tcW w:w="1375" w:type="dxa"/>
            <w:tcBorders>
              <w:top w:val="single" w:sz="4" w:space="0" w:color="A6A6A6"/>
              <w:left w:val="nil"/>
              <w:bottom w:val="single" w:sz="4" w:space="0" w:color="A6A6A6"/>
              <w:right w:val="single" w:sz="4" w:space="0" w:color="A6A6A6"/>
            </w:tcBorders>
            <w:shd w:val="clear" w:color="000000" w:fill="D9D9D9"/>
            <w:noWrap/>
            <w:vAlign w:val="bottom"/>
            <w:hideMark/>
          </w:tcPr>
          <w:p w14:paraId="01A4FCBE" w14:textId="77777777" w:rsidR="00DE0FCB" w:rsidRPr="00DE0FCB" w:rsidRDefault="00DE0FCB" w:rsidP="00DE0FCB">
            <w:pPr>
              <w:jc w:val="right"/>
              <w:rPr>
                <w:rFonts w:ascii="Arial" w:hAnsi="Arial" w:cs="Arial"/>
                <w:b/>
                <w:bCs/>
              </w:rPr>
            </w:pPr>
            <w:r w:rsidRPr="00DE0FCB">
              <w:rPr>
                <w:rFonts w:ascii="Arial" w:hAnsi="Arial" w:cs="Arial"/>
                <w:b/>
                <w:bCs/>
              </w:rPr>
              <w:t xml:space="preserve">4.747.038 </w:t>
            </w:r>
          </w:p>
        </w:tc>
        <w:tc>
          <w:tcPr>
            <w:tcW w:w="1375" w:type="dxa"/>
            <w:tcBorders>
              <w:top w:val="single" w:sz="4" w:space="0" w:color="A6A6A6"/>
              <w:left w:val="nil"/>
              <w:bottom w:val="single" w:sz="4" w:space="0" w:color="A6A6A6"/>
              <w:right w:val="single" w:sz="4" w:space="0" w:color="A6A6A6"/>
            </w:tcBorders>
            <w:shd w:val="clear" w:color="000000" w:fill="D9D9D9"/>
            <w:noWrap/>
            <w:vAlign w:val="bottom"/>
            <w:hideMark/>
          </w:tcPr>
          <w:p w14:paraId="3180B5E1" w14:textId="77777777" w:rsidR="00DE0FCB" w:rsidRPr="00DE0FCB" w:rsidRDefault="00DE0FCB" w:rsidP="00DE0FCB">
            <w:pPr>
              <w:jc w:val="right"/>
              <w:rPr>
                <w:rFonts w:ascii="Arial" w:hAnsi="Arial" w:cs="Arial"/>
                <w:b/>
                <w:bCs/>
              </w:rPr>
            </w:pPr>
            <w:r w:rsidRPr="00DE0FCB">
              <w:rPr>
                <w:rFonts w:ascii="Arial" w:hAnsi="Arial" w:cs="Arial"/>
                <w:b/>
                <w:bCs/>
              </w:rPr>
              <w:t xml:space="preserve">4.802.236 </w:t>
            </w:r>
          </w:p>
        </w:tc>
      </w:tr>
      <w:tr w:rsidR="00DE0FCB" w:rsidRPr="00DE0FCB" w14:paraId="26CE45C5"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4FFB7AB4" w14:textId="77777777" w:rsidR="00DE0FCB" w:rsidRPr="00DE0FCB" w:rsidRDefault="00DE0FCB" w:rsidP="00DE0FCB">
            <w:pPr>
              <w:rPr>
                <w:rFonts w:ascii="Arial" w:hAnsi="Arial" w:cs="Arial"/>
              </w:rPr>
            </w:pPr>
            <w:r w:rsidRPr="00DE0FCB">
              <w:rPr>
                <w:rFonts w:ascii="Arial" w:hAnsi="Arial" w:cs="Arial"/>
              </w:rPr>
              <w:t>Opboekingen Bijstand</w:t>
            </w:r>
          </w:p>
        </w:tc>
        <w:tc>
          <w:tcPr>
            <w:tcW w:w="1375" w:type="dxa"/>
            <w:tcBorders>
              <w:top w:val="nil"/>
              <w:left w:val="nil"/>
              <w:bottom w:val="nil"/>
              <w:right w:val="nil"/>
            </w:tcBorders>
            <w:shd w:val="clear" w:color="000000" w:fill="FFFFFF"/>
            <w:noWrap/>
            <w:vAlign w:val="bottom"/>
            <w:hideMark/>
          </w:tcPr>
          <w:p w14:paraId="7D9F1B26"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88.750</w:t>
            </w:r>
          </w:p>
        </w:tc>
        <w:tc>
          <w:tcPr>
            <w:tcW w:w="1375" w:type="dxa"/>
            <w:tcBorders>
              <w:top w:val="nil"/>
              <w:left w:val="nil"/>
              <w:bottom w:val="nil"/>
              <w:right w:val="nil"/>
            </w:tcBorders>
            <w:shd w:val="clear" w:color="000000" w:fill="FFFFFF"/>
            <w:noWrap/>
            <w:vAlign w:val="bottom"/>
            <w:hideMark/>
          </w:tcPr>
          <w:p w14:paraId="5BE17B89"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89.819</w:t>
            </w:r>
          </w:p>
        </w:tc>
        <w:tc>
          <w:tcPr>
            <w:tcW w:w="1375" w:type="dxa"/>
            <w:tcBorders>
              <w:top w:val="nil"/>
              <w:left w:val="nil"/>
              <w:bottom w:val="nil"/>
              <w:right w:val="nil"/>
            </w:tcBorders>
            <w:shd w:val="clear" w:color="000000" w:fill="FFFFFF"/>
            <w:noWrap/>
            <w:vAlign w:val="bottom"/>
            <w:hideMark/>
          </w:tcPr>
          <w:p w14:paraId="744D24FC"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91.958</w:t>
            </w:r>
          </w:p>
        </w:tc>
        <w:tc>
          <w:tcPr>
            <w:tcW w:w="1375" w:type="dxa"/>
            <w:tcBorders>
              <w:top w:val="nil"/>
              <w:left w:val="nil"/>
              <w:bottom w:val="nil"/>
              <w:right w:val="nil"/>
            </w:tcBorders>
            <w:shd w:val="clear" w:color="000000" w:fill="FFFFFF"/>
            <w:noWrap/>
            <w:vAlign w:val="bottom"/>
            <w:hideMark/>
          </w:tcPr>
          <w:p w14:paraId="4E90DF2B"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93.027</w:t>
            </w:r>
          </w:p>
        </w:tc>
      </w:tr>
      <w:tr w:rsidR="00DE0FCB" w:rsidRPr="00DE0FCB" w14:paraId="1BA25FBA"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5257658A" w14:textId="77777777" w:rsidR="00DE0FCB" w:rsidRPr="00DE0FCB" w:rsidRDefault="00DE0FCB" w:rsidP="00DE0FCB">
            <w:pPr>
              <w:rPr>
                <w:rFonts w:ascii="Arial" w:hAnsi="Arial" w:cs="Arial"/>
              </w:rPr>
            </w:pPr>
            <w:r w:rsidRPr="00DE0FCB">
              <w:rPr>
                <w:rFonts w:ascii="Arial" w:hAnsi="Arial" w:cs="Arial"/>
              </w:rPr>
              <w:t>Opboekingen IOAW</w:t>
            </w:r>
          </w:p>
        </w:tc>
        <w:tc>
          <w:tcPr>
            <w:tcW w:w="1375" w:type="dxa"/>
            <w:tcBorders>
              <w:top w:val="nil"/>
              <w:left w:val="nil"/>
              <w:bottom w:val="nil"/>
              <w:right w:val="nil"/>
            </w:tcBorders>
            <w:shd w:val="clear" w:color="000000" w:fill="FFFFFF"/>
            <w:noWrap/>
            <w:vAlign w:val="bottom"/>
            <w:hideMark/>
          </w:tcPr>
          <w:p w14:paraId="7DDF4A34"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7A2E9C61"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6932403A"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47D6EF2D"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r>
      <w:tr w:rsidR="00DE0FCB" w:rsidRPr="00DE0FCB" w14:paraId="24961232"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3F3F15E6" w14:textId="77777777" w:rsidR="00DE0FCB" w:rsidRPr="00DE0FCB" w:rsidRDefault="00DE0FCB" w:rsidP="00DE0FCB">
            <w:pPr>
              <w:rPr>
                <w:rFonts w:ascii="Arial" w:hAnsi="Arial" w:cs="Arial"/>
              </w:rPr>
            </w:pPr>
            <w:r w:rsidRPr="00DE0FCB">
              <w:rPr>
                <w:rFonts w:ascii="Arial" w:hAnsi="Arial" w:cs="Arial"/>
              </w:rPr>
              <w:t>Opboekingen IOAZ</w:t>
            </w:r>
          </w:p>
        </w:tc>
        <w:tc>
          <w:tcPr>
            <w:tcW w:w="1375" w:type="dxa"/>
            <w:tcBorders>
              <w:top w:val="nil"/>
              <w:left w:val="nil"/>
              <w:bottom w:val="nil"/>
              <w:right w:val="nil"/>
            </w:tcBorders>
            <w:shd w:val="clear" w:color="000000" w:fill="FFFFFF"/>
            <w:noWrap/>
            <w:vAlign w:val="bottom"/>
            <w:hideMark/>
          </w:tcPr>
          <w:p w14:paraId="7237DC4A"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640AE483"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10ED6982"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7EF553A0"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r>
      <w:tr w:rsidR="00DE0FCB" w:rsidRPr="00DE0FCB" w14:paraId="243B2D28"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2C44BF63" w14:textId="77777777" w:rsidR="00DE0FCB" w:rsidRPr="00DE0FCB" w:rsidRDefault="00DE0FCB" w:rsidP="00DE0FCB">
            <w:pPr>
              <w:rPr>
                <w:rFonts w:ascii="Arial" w:hAnsi="Arial" w:cs="Arial"/>
              </w:rPr>
            </w:pPr>
            <w:r w:rsidRPr="00DE0FCB">
              <w:rPr>
                <w:rFonts w:ascii="Arial" w:hAnsi="Arial" w:cs="Arial"/>
              </w:rPr>
              <w:t>Opboekingen BBZ levensonderhoud</w:t>
            </w:r>
          </w:p>
        </w:tc>
        <w:tc>
          <w:tcPr>
            <w:tcW w:w="1375" w:type="dxa"/>
            <w:tcBorders>
              <w:top w:val="nil"/>
              <w:left w:val="nil"/>
              <w:bottom w:val="nil"/>
              <w:right w:val="nil"/>
            </w:tcBorders>
            <w:shd w:val="clear" w:color="000000" w:fill="FFFFFF"/>
            <w:noWrap/>
            <w:vAlign w:val="bottom"/>
            <w:hideMark/>
          </w:tcPr>
          <w:p w14:paraId="646F0DC8"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1370A32D"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6330AFF1"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c>
          <w:tcPr>
            <w:tcW w:w="1375" w:type="dxa"/>
            <w:tcBorders>
              <w:top w:val="nil"/>
              <w:left w:val="nil"/>
              <w:bottom w:val="nil"/>
              <w:right w:val="nil"/>
            </w:tcBorders>
            <w:shd w:val="clear" w:color="000000" w:fill="FFFFFF"/>
            <w:noWrap/>
            <w:vAlign w:val="bottom"/>
            <w:hideMark/>
          </w:tcPr>
          <w:p w14:paraId="5DDA8C09"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0</w:t>
            </w:r>
          </w:p>
        </w:tc>
      </w:tr>
      <w:tr w:rsidR="00DE0FCB" w:rsidRPr="00DE0FCB" w14:paraId="1531A9D0"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0D4022FD" w14:textId="77777777" w:rsidR="00DE0FCB" w:rsidRPr="00DE0FCB" w:rsidRDefault="00DE0FCB" w:rsidP="00DE0FCB">
            <w:pPr>
              <w:rPr>
                <w:rFonts w:ascii="Arial" w:hAnsi="Arial" w:cs="Arial"/>
              </w:rPr>
            </w:pPr>
            <w:r w:rsidRPr="00DE0FCB">
              <w:rPr>
                <w:rFonts w:ascii="Arial" w:hAnsi="Arial" w:cs="Arial"/>
              </w:rPr>
              <w:t>Opboekingen Verhaal</w:t>
            </w:r>
          </w:p>
        </w:tc>
        <w:tc>
          <w:tcPr>
            <w:tcW w:w="1375" w:type="dxa"/>
            <w:tcBorders>
              <w:top w:val="nil"/>
              <w:left w:val="nil"/>
              <w:bottom w:val="nil"/>
              <w:right w:val="nil"/>
            </w:tcBorders>
            <w:shd w:val="clear" w:color="000000" w:fill="FFFFFF"/>
            <w:noWrap/>
            <w:vAlign w:val="bottom"/>
            <w:hideMark/>
          </w:tcPr>
          <w:p w14:paraId="708AF403"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18.880</w:t>
            </w:r>
          </w:p>
        </w:tc>
        <w:tc>
          <w:tcPr>
            <w:tcW w:w="1375" w:type="dxa"/>
            <w:tcBorders>
              <w:top w:val="nil"/>
              <w:left w:val="nil"/>
              <w:bottom w:val="nil"/>
              <w:right w:val="nil"/>
            </w:tcBorders>
            <w:shd w:val="clear" w:color="000000" w:fill="FFFFFF"/>
            <w:noWrap/>
            <w:vAlign w:val="bottom"/>
            <w:hideMark/>
          </w:tcPr>
          <w:p w14:paraId="1DC00875"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19.107</w:t>
            </w:r>
          </w:p>
        </w:tc>
        <w:tc>
          <w:tcPr>
            <w:tcW w:w="1375" w:type="dxa"/>
            <w:tcBorders>
              <w:top w:val="nil"/>
              <w:left w:val="nil"/>
              <w:bottom w:val="nil"/>
              <w:right w:val="nil"/>
            </w:tcBorders>
            <w:shd w:val="clear" w:color="000000" w:fill="FFFFFF"/>
            <w:noWrap/>
            <w:vAlign w:val="bottom"/>
            <w:hideMark/>
          </w:tcPr>
          <w:p w14:paraId="6B114399"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19.562</w:t>
            </w:r>
          </w:p>
        </w:tc>
        <w:tc>
          <w:tcPr>
            <w:tcW w:w="1375" w:type="dxa"/>
            <w:tcBorders>
              <w:top w:val="nil"/>
              <w:left w:val="nil"/>
              <w:bottom w:val="nil"/>
              <w:right w:val="nil"/>
            </w:tcBorders>
            <w:shd w:val="clear" w:color="000000" w:fill="FFFFFF"/>
            <w:noWrap/>
            <w:vAlign w:val="bottom"/>
            <w:hideMark/>
          </w:tcPr>
          <w:p w14:paraId="105B2F48"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19.790</w:t>
            </w:r>
          </w:p>
        </w:tc>
      </w:tr>
      <w:tr w:rsidR="00DE0FCB" w:rsidRPr="00DE0FCB" w14:paraId="4A93FBF7" w14:textId="77777777" w:rsidTr="00DE0FCB">
        <w:trPr>
          <w:trHeight w:val="300"/>
        </w:trPr>
        <w:tc>
          <w:tcPr>
            <w:tcW w:w="3280" w:type="dxa"/>
            <w:tcBorders>
              <w:top w:val="nil"/>
              <w:left w:val="single" w:sz="4" w:space="0" w:color="A6A6A6"/>
              <w:bottom w:val="nil"/>
              <w:right w:val="single" w:sz="4" w:space="0" w:color="A6A6A6"/>
            </w:tcBorders>
            <w:shd w:val="clear" w:color="000000" w:fill="FFFFFF"/>
            <w:noWrap/>
            <w:vAlign w:val="bottom"/>
            <w:hideMark/>
          </w:tcPr>
          <w:p w14:paraId="2D4C3D12" w14:textId="77777777" w:rsidR="00DE0FCB" w:rsidRPr="00DE0FCB" w:rsidRDefault="00DE0FCB" w:rsidP="00DE0FCB">
            <w:pPr>
              <w:rPr>
                <w:rFonts w:ascii="Arial" w:hAnsi="Arial" w:cs="Arial"/>
              </w:rPr>
            </w:pPr>
            <w:r w:rsidRPr="00DE0FCB">
              <w:rPr>
                <w:rFonts w:ascii="Arial" w:hAnsi="Arial" w:cs="Arial"/>
              </w:rPr>
              <w:t xml:space="preserve">Rijksvergoeding BUIG </w:t>
            </w:r>
          </w:p>
        </w:tc>
        <w:tc>
          <w:tcPr>
            <w:tcW w:w="1375" w:type="dxa"/>
            <w:tcBorders>
              <w:top w:val="nil"/>
              <w:left w:val="nil"/>
              <w:bottom w:val="nil"/>
              <w:right w:val="nil"/>
            </w:tcBorders>
            <w:shd w:val="clear" w:color="000000" w:fill="FFFFFF"/>
            <w:noWrap/>
            <w:vAlign w:val="bottom"/>
            <w:hideMark/>
          </w:tcPr>
          <w:p w14:paraId="60CFB155"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3.697.676</w:t>
            </w:r>
          </w:p>
        </w:tc>
        <w:tc>
          <w:tcPr>
            <w:tcW w:w="1375" w:type="dxa"/>
            <w:tcBorders>
              <w:top w:val="nil"/>
              <w:left w:val="nil"/>
              <w:bottom w:val="nil"/>
              <w:right w:val="nil"/>
            </w:tcBorders>
            <w:shd w:val="clear" w:color="000000" w:fill="FFFFFF"/>
            <w:noWrap/>
            <w:vAlign w:val="bottom"/>
            <w:hideMark/>
          </w:tcPr>
          <w:p w14:paraId="1AD2E2E5"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4.068.928</w:t>
            </w:r>
          </w:p>
        </w:tc>
        <w:tc>
          <w:tcPr>
            <w:tcW w:w="1375" w:type="dxa"/>
            <w:tcBorders>
              <w:top w:val="nil"/>
              <w:left w:val="nil"/>
              <w:bottom w:val="nil"/>
              <w:right w:val="nil"/>
            </w:tcBorders>
            <w:shd w:val="clear" w:color="000000" w:fill="FFFFFF"/>
            <w:noWrap/>
            <w:vAlign w:val="bottom"/>
            <w:hideMark/>
          </w:tcPr>
          <w:p w14:paraId="27573CF1"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4.165.807</w:t>
            </w:r>
          </w:p>
        </w:tc>
        <w:tc>
          <w:tcPr>
            <w:tcW w:w="1375" w:type="dxa"/>
            <w:tcBorders>
              <w:top w:val="nil"/>
              <w:left w:val="nil"/>
              <w:bottom w:val="nil"/>
              <w:right w:val="nil"/>
            </w:tcBorders>
            <w:shd w:val="clear" w:color="000000" w:fill="FFFFFF"/>
            <w:noWrap/>
            <w:vAlign w:val="bottom"/>
            <w:hideMark/>
          </w:tcPr>
          <w:p w14:paraId="58C9A38B"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4.214.247</w:t>
            </w:r>
          </w:p>
        </w:tc>
      </w:tr>
      <w:tr w:rsidR="00DE0FCB" w:rsidRPr="00DE0FCB" w14:paraId="5B4FD012" w14:textId="77777777" w:rsidTr="00DE0FCB">
        <w:trPr>
          <w:trHeight w:val="300"/>
        </w:trPr>
        <w:tc>
          <w:tcPr>
            <w:tcW w:w="3280" w:type="dxa"/>
            <w:tcBorders>
              <w:top w:val="single" w:sz="4" w:space="0" w:color="A6A6A6"/>
              <w:left w:val="single" w:sz="4" w:space="0" w:color="A6A6A6"/>
              <w:bottom w:val="single" w:sz="4" w:space="0" w:color="A6A6A6"/>
              <w:right w:val="single" w:sz="4" w:space="0" w:color="A6A6A6"/>
            </w:tcBorders>
            <w:shd w:val="clear" w:color="000000" w:fill="D9D9D9"/>
            <w:noWrap/>
            <w:vAlign w:val="bottom"/>
            <w:hideMark/>
          </w:tcPr>
          <w:p w14:paraId="2A35FEDC" w14:textId="77777777" w:rsidR="00DE0FCB" w:rsidRPr="00DE0FCB" w:rsidRDefault="00DE0FCB" w:rsidP="00DE0FCB">
            <w:pPr>
              <w:rPr>
                <w:rFonts w:ascii="Arial" w:hAnsi="Arial" w:cs="Arial"/>
                <w:b/>
                <w:bCs/>
              </w:rPr>
            </w:pPr>
            <w:r w:rsidRPr="00DE0FCB">
              <w:rPr>
                <w:rFonts w:ascii="Arial" w:hAnsi="Arial" w:cs="Arial"/>
                <w:b/>
                <w:bCs/>
              </w:rPr>
              <w:t>Totaal baten</w:t>
            </w:r>
          </w:p>
        </w:tc>
        <w:tc>
          <w:tcPr>
            <w:tcW w:w="1375" w:type="dxa"/>
            <w:tcBorders>
              <w:top w:val="single" w:sz="4" w:space="0" w:color="A6A6A6"/>
              <w:left w:val="nil"/>
              <w:bottom w:val="single" w:sz="4" w:space="0" w:color="A6A6A6"/>
              <w:right w:val="single" w:sz="4" w:space="0" w:color="A6A6A6"/>
            </w:tcBorders>
            <w:shd w:val="clear" w:color="000000" w:fill="D9D9D9"/>
            <w:noWrap/>
            <w:vAlign w:val="bottom"/>
            <w:hideMark/>
          </w:tcPr>
          <w:p w14:paraId="747F0660" w14:textId="77777777" w:rsidR="00DE0FCB" w:rsidRPr="00DE0FCB" w:rsidRDefault="00DE0FCB" w:rsidP="00DE0FCB">
            <w:pPr>
              <w:jc w:val="right"/>
              <w:rPr>
                <w:rFonts w:ascii="Arial" w:hAnsi="Arial" w:cs="Arial"/>
                <w:b/>
                <w:bCs/>
              </w:rPr>
            </w:pPr>
            <w:r w:rsidRPr="00DE0FCB">
              <w:rPr>
                <w:rFonts w:ascii="Arial" w:hAnsi="Arial" w:cs="Arial"/>
                <w:b/>
                <w:bCs/>
              </w:rPr>
              <w:t xml:space="preserve">3.805.306 </w:t>
            </w:r>
          </w:p>
        </w:tc>
        <w:tc>
          <w:tcPr>
            <w:tcW w:w="1375" w:type="dxa"/>
            <w:tcBorders>
              <w:top w:val="single" w:sz="4" w:space="0" w:color="A6A6A6"/>
              <w:left w:val="nil"/>
              <w:bottom w:val="single" w:sz="4" w:space="0" w:color="A6A6A6"/>
              <w:right w:val="single" w:sz="4" w:space="0" w:color="A6A6A6"/>
            </w:tcBorders>
            <w:shd w:val="clear" w:color="000000" w:fill="D9D9D9"/>
            <w:noWrap/>
            <w:vAlign w:val="bottom"/>
            <w:hideMark/>
          </w:tcPr>
          <w:p w14:paraId="48248384" w14:textId="77777777" w:rsidR="00DE0FCB" w:rsidRPr="00DE0FCB" w:rsidRDefault="00DE0FCB" w:rsidP="00DE0FCB">
            <w:pPr>
              <w:jc w:val="right"/>
              <w:rPr>
                <w:rFonts w:ascii="Arial" w:hAnsi="Arial" w:cs="Arial"/>
                <w:b/>
                <w:bCs/>
              </w:rPr>
            </w:pPr>
            <w:r w:rsidRPr="00DE0FCB">
              <w:rPr>
                <w:rFonts w:ascii="Arial" w:hAnsi="Arial" w:cs="Arial"/>
                <w:b/>
                <w:bCs/>
              </w:rPr>
              <w:t xml:space="preserve">4.177.854 </w:t>
            </w:r>
          </w:p>
        </w:tc>
        <w:tc>
          <w:tcPr>
            <w:tcW w:w="1375" w:type="dxa"/>
            <w:tcBorders>
              <w:top w:val="single" w:sz="4" w:space="0" w:color="A6A6A6"/>
              <w:left w:val="nil"/>
              <w:bottom w:val="single" w:sz="4" w:space="0" w:color="A6A6A6"/>
              <w:right w:val="single" w:sz="4" w:space="0" w:color="A6A6A6"/>
            </w:tcBorders>
            <w:shd w:val="clear" w:color="000000" w:fill="D9D9D9"/>
            <w:noWrap/>
            <w:vAlign w:val="bottom"/>
            <w:hideMark/>
          </w:tcPr>
          <w:p w14:paraId="3BD6357F" w14:textId="77777777" w:rsidR="00DE0FCB" w:rsidRPr="00DE0FCB" w:rsidRDefault="00DE0FCB" w:rsidP="00DE0FCB">
            <w:pPr>
              <w:jc w:val="right"/>
              <w:rPr>
                <w:rFonts w:ascii="Arial" w:hAnsi="Arial" w:cs="Arial"/>
                <w:b/>
                <w:bCs/>
              </w:rPr>
            </w:pPr>
            <w:r w:rsidRPr="00DE0FCB">
              <w:rPr>
                <w:rFonts w:ascii="Arial" w:hAnsi="Arial" w:cs="Arial"/>
                <w:b/>
                <w:bCs/>
              </w:rPr>
              <w:t xml:space="preserve">4.277.327 </w:t>
            </w:r>
          </w:p>
        </w:tc>
        <w:tc>
          <w:tcPr>
            <w:tcW w:w="1375" w:type="dxa"/>
            <w:tcBorders>
              <w:top w:val="single" w:sz="4" w:space="0" w:color="A6A6A6"/>
              <w:left w:val="nil"/>
              <w:bottom w:val="single" w:sz="4" w:space="0" w:color="A6A6A6"/>
              <w:right w:val="single" w:sz="4" w:space="0" w:color="A6A6A6"/>
            </w:tcBorders>
            <w:shd w:val="clear" w:color="000000" w:fill="D9D9D9"/>
            <w:noWrap/>
            <w:vAlign w:val="bottom"/>
            <w:hideMark/>
          </w:tcPr>
          <w:p w14:paraId="23CF1B1C" w14:textId="77777777" w:rsidR="00DE0FCB" w:rsidRPr="00DE0FCB" w:rsidRDefault="00DE0FCB" w:rsidP="00DE0FCB">
            <w:pPr>
              <w:jc w:val="right"/>
              <w:rPr>
                <w:rFonts w:ascii="Arial" w:hAnsi="Arial" w:cs="Arial"/>
                <w:b/>
                <w:bCs/>
              </w:rPr>
            </w:pPr>
            <w:r w:rsidRPr="00DE0FCB">
              <w:rPr>
                <w:rFonts w:ascii="Arial" w:hAnsi="Arial" w:cs="Arial"/>
                <w:b/>
                <w:bCs/>
              </w:rPr>
              <w:t xml:space="preserve">4.327.064 </w:t>
            </w:r>
          </w:p>
        </w:tc>
      </w:tr>
      <w:tr w:rsidR="00DE0FCB" w:rsidRPr="00DE0FCB" w14:paraId="734B44FC" w14:textId="77777777" w:rsidTr="00DE0FCB">
        <w:trPr>
          <w:trHeight w:val="300"/>
        </w:trPr>
        <w:tc>
          <w:tcPr>
            <w:tcW w:w="3280" w:type="dxa"/>
            <w:tcBorders>
              <w:top w:val="nil"/>
              <w:left w:val="single" w:sz="4" w:space="0" w:color="A6A6A6"/>
              <w:bottom w:val="single" w:sz="4" w:space="0" w:color="A6A6A6"/>
              <w:right w:val="nil"/>
            </w:tcBorders>
            <w:shd w:val="clear" w:color="000000" w:fill="FFFFFF"/>
            <w:noWrap/>
            <w:vAlign w:val="bottom"/>
            <w:hideMark/>
          </w:tcPr>
          <w:p w14:paraId="1FEE26A5" w14:textId="77777777" w:rsidR="00DE0FCB" w:rsidRPr="00DE0FCB" w:rsidRDefault="00DE0FCB" w:rsidP="00DE0FCB">
            <w:pPr>
              <w:rPr>
                <w:rFonts w:ascii="Arial" w:hAnsi="Arial" w:cs="Arial"/>
                <w:b/>
                <w:bCs/>
              </w:rPr>
            </w:pPr>
            <w:r w:rsidRPr="00DE0FCB">
              <w:rPr>
                <w:rFonts w:ascii="Arial" w:hAnsi="Arial" w:cs="Arial"/>
                <w:b/>
                <w:bCs/>
              </w:rPr>
              <w:t> </w:t>
            </w:r>
          </w:p>
        </w:tc>
        <w:tc>
          <w:tcPr>
            <w:tcW w:w="1375" w:type="dxa"/>
            <w:tcBorders>
              <w:top w:val="nil"/>
              <w:left w:val="nil"/>
              <w:bottom w:val="single" w:sz="4" w:space="0" w:color="A6A6A6"/>
              <w:right w:val="nil"/>
            </w:tcBorders>
            <w:shd w:val="clear" w:color="000000" w:fill="FFFFFF"/>
            <w:noWrap/>
            <w:vAlign w:val="bottom"/>
            <w:hideMark/>
          </w:tcPr>
          <w:p w14:paraId="0E4D5532"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single" w:sz="4" w:space="0" w:color="A6A6A6"/>
              <w:right w:val="nil"/>
            </w:tcBorders>
            <w:shd w:val="clear" w:color="000000" w:fill="FFFFFF"/>
            <w:noWrap/>
            <w:vAlign w:val="bottom"/>
            <w:hideMark/>
          </w:tcPr>
          <w:p w14:paraId="47CA1D0E"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single" w:sz="4" w:space="0" w:color="A6A6A6"/>
              <w:right w:val="nil"/>
            </w:tcBorders>
            <w:shd w:val="clear" w:color="000000" w:fill="FFFFFF"/>
            <w:noWrap/>
            <w:vAlign w:val="bottom"/>
            <w:hideMark/>
          </w:tcPr>
          <w:p w14:paraId="2FC97D46"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single" w:sz="4" w:space="0" w:color="A6A6A6"/>
              <w:right w:val="nil"/>
            </w:tcBorders>
            <w:shd w:val="clear" w:color="000000" w:fill="FFFFFF"/>
            <w:noWrap/>
            <w:vAlign w:val="bottom"/>
            <w:hideMark/>
          </w:tcPr>
          <w:p w14:paraId="5FD7C271" w14:textId="77777777" w:rsidR="00DE0FCB" w:rsidRPr="00DE0FCB" w:rsidRDefault="00DE0FCB" w:rsidP="00DE0FCB">
            <w:pPr>
              <w:rPr>
                <w:rFonts w:ascii="Arial" w:hAnsi="Arial" w:cs="Arial"/>
              </w:rPr>
            </w:pPr>
            <w:r w:rsidRPr="00DE0FCB">
              <w:rPr>
                <w:rFonts w:ascii="Arial" w:hAnsi="Arial" w:cs="Arial"/>
              </w:rPr>
              <w:t> </w:t>
            </w:r>
          </w:p>
        </w:tc>
      </w:tr>
      <w:tr w:rsidR="00DE0FCB" w:rsidRPr="00DE0FCB" w14:paraId="08808394" w14:textId="77777777" w:rsidTr="00DE0FCB">
        <w:trPr>
          <w:trHeight w:val="315"/>
        </w:trPr>
        <w:tc>
          <w:tcPr>
            <w:tcW w:w="3280" w:type="dxa"/>
            <w:tcBorders>
              <w:top w:val="nil"/>
              <w:left w:val="single" w:sz="4" w:space="0" w:color="A6A6A6"/>
              <w:bottom w:val="double" w:sz="6" w:space="0" w:color="A6A6A6"/>
              <w:right w:val="single" w:sz="4" w:space="0" w:color="A6A6A6"/>
            </w:tcBorders>
            <w:shd w:val="clear" w:color="000000" w:fill="D9D9D9"/>
            <w:noWrap/>
            <w:vAlign w:val="bottom"/>
            <w:hideMark/>
          </w:tcPr>
          <w:p w14:paraId="29A272E1" w14:textId="77777777" w:rsidR="00DE0FCB" w:rsidRPr="00DE0FCB" w:rsidRDefault="00DE0FCB" w:rsidP="00DE0FCB">
            <w:pPr>
              <w:rPr>
                <w:rFonts w:ascii="Arial" w:hAnsi="Arial" w:cs="Arial"/>
                <w:b/>
                <w:bCs/>
              </w:rPr>
            </w:pPr>
            <w:r w:rsidRPr="00DE0FCB">
              <w:rPr>
                <w:rFonts w:ascii="Arial" w:hAnsi="Arial" w:cs="Arial"/>
                <w:b/>
                <w:bCs/>
              </w:rPr>
              <w:t xml:space="preserve">Totaal generaal  baten / lasten </w:t>
            </w:r>
          </w:p>
        </w:tc>
        <w:tc>
          <w:tcPr>
            <w:tcW w:w="1375" w:type="dxa"/>
            <w:tcBorders>
              <w:top w:val="nil"/>
              <w:left w:val="nil"/>
              <w:bottom w:val="double" w:sz="6" w:space="0" w:color="A6A6A6"/>
              <w:right w:val="single" w:sz="4" w:space="0" w:color="A6A6A6"/>
            </w:tcBorders>
            <w:shd w:val="clear" w:color="000000" w:fill="D9D9D9"/>
            <w:noWrap/>
            <w:vAlign w:val="bottom"/>
            <w:hideMark/>
          </w:tcPr>
          <w:p w14:paraId="581DFAFA" w14:textId="77777777" w:rsidR="00DE0FCB" w:rsidRPr="00DE0FCB" w:rsidRDefault="00DE0FCB" w:rsidP="00DE0FCB">
            <w:pPr>
              <w:jc w:val="right"/>
              <w:rPr>
                <w:rFonts w:ascii="Arial" w:hAnsi="Arial" w:cs="Arial"/>
                <w:b/>
                <w:bCs/>
              </w:rPr>
            </w:pPr>
            <w:r w:rsidRPr="00DE0FCB">
              <w:rPr>
                <w:rFonts w:ascii="Arial" w:hAnsi="Arial" w:cs="Arial"/>
                <w:b/>
                <w:bCs/>
              </w:rPr>
              <w:t xml:space="preserve">776.138 </w:t>
            </w:r>
          </w:p>
        </w:tc>
        <w:tc>
          <w:tcPr>
            <w:tcW w:w="1375" w:type="dxa"/>
            <w:tcBorders>
              <w:top w:val="nil"/>
              <w:left w:val="nil"/>
              <w:bottom w:val="double" w:sz="6" w:space="0" w:color="A6A6A6"/>
              <w:right w:val="single" w:sz="4" w:space="0" w:color="A6A6A6"/>
            </w:tcBorders>
            <w:shd w:val="clear" w:color="000000" w:fill="D9D9D9"/>
            <w:noWrap/>
            <w:vAlign w:val="bottom"/>
            <w:hideMark/>
          </w:tcPr>
          <w:p w14:paraId="11322F7A" w14:textId="77777777" w:rsidR="00DE0FCB" w:rsidRPr="00DE0FCB" w:rsidRDefault="00DE0FCB" w:rsidP="00DE0FCB">
            <w:pPr>
              <w:jc w:val="right"/>
              <w:rPr>
                <w:rFonts w:ascii="Arial" w:hAnsi="Arial" w:cs="Arial"/>
                <w:b/>
                <w:bCs/>
              </w:rPr>
            </w:pPr>
            <w:r w:rsidRPr="00DE0FCB">
              <w:rPr>
                <w:rFonts w:ascii="Arial" w:hAnsi="Arial" w:cs="Arial"/>
                <w:b/>
                <w:bCs/>
              </w:rPr>
              <w:t xml:space="preserve">458.787 </w:t>
            </w:r>
          </w:p>
        </w:tc>
        <w:tc>
          <w:tcPr>
            <w:tcW w:w="1375" w:type="dxa"/>
            <w:tcBorders>
              <w:top w:val="nil"/>
              <w:left w:val="nil"/>
              <w:bottom w:val="double" w:sz="6" w:space="0" w:color="A6A6A6"/>
              <w:right w:val="single" w:sz="4" w:space="0" w:color="A6A6A6"/>
            </w:tcBorders>
            <w:shd w:val="clear" w:color="000000" w:fill="D9D9D9"/>
            <w:noWrap/>
            <w:vAlign w:val="bottom"/>
            <w:hideMark/>
          </w:tcPr>
          <w:p w14:paraId="4D5408F3" w14:textId="77777777" w:rsidR="00DE0FCB" w:rsidRPr="00DE0FCB" w:rsidRDefault="00DE0FCB" w:rsidP="00DE0FCB">
            <w:pPr>
              <w:jc w:val="right"/>
              <w:rPr>
                <w:rFonts w:ascii="Arial" w:hAnsi="Arial" w:cs="Arial"/>
                <w:b/>
                <w:bCs/>
              </w:rPr>
            </w:pPr>
            <w:r w:rsidRPr="00DE0FCB">
              <w:rPr>
                <w:rFonts w:ascii="Arial" w:hAnsi="Arial" w:cs="Arial"/>
                <w:b/>
                <w:bCs/>
              </w:rPr>
              <w:t xml:space="preserve">469.711 </w:t>
            </w:r>
          </w:p>
        </w:tc>
        <w:tc>
          <w:tcPr>
            <w:tcW w:w="1375" w:type="dxa"/>
            <w:tcBorders>
              <w:top w:val="nil"/>
              <w:left w:val="nil"/>
              <w:bottom w:val="double" w:sz="6" w:space="0" w:color="A6A6A6"/>
              <w:right w:val="single" w:sz="4" w:space="0" w:color="A6A6A6"/>
            </w:tcBorders>
            <w:shd w:val="clear" w:color="000000" w:fill="D9D9D9"/>
            <w:noWrap/>
            <w:vAlign w:val="bottom"/>
            <w:hideMark/>
          </w:tcPr>
          <w:p w14:paraId="2BE843DF" w14:textId="77777777" w:rsidR="00DE0FCB" w:rsidRPr="00DE0FCB" w:rsidRDefault="00DE0FCB" w:rsidP="00DE0FCB">
            <w:pPr>
              <w:jc w:val="right"/>
              <w:rPr>
                <w:rFonts w:ascii="Arial" w:hAnsi="Arial" w:cs="Arial"/>
                <w:b/>
                <w:bCs/>
              </w:rPr>
            </w:pPr>
            <w:r w:rsidRPr="00DE0FCB">
              <w:rPr>
                <w:rFonts w:ascii="Arial" w:hAnsi="Arial" w:cs="Arial"/>
                <w:b/>
                <w:bCs/>
              </w:rPr>
              <w:t xml:space="preserve">475.173 </w:t>
            </w:r>
          </w:p>
        </w:tc>
      </w:tr>
      <w:tr w:rsidR="00DE0FCB" w:rsidRPr="00DE0FCB" w14:paraId="69050E5C" w14:textId="77777777" w:rsidTr="00DE0FCB">
        <w:trPr>
          <w:trHeight w:val="315"/>
        </w:trPr>
        <w:tc>
          <w:tcPr>
            <w:tcW w:w="3280" w:type="dxa"/>
            <w:tcBorders>
              <w:top w:val="nil"/>
              <w:left w:val="nil"/>
              <w:bottom w:val="nil"/>
              <w:right w:val="nil"/>
            </w:tcBorders>
            <w:shd w:val="clear" w:color="000000" w:fill="FFFFFF"/>
            <w:noWrap/>
            <w:vAlign w:val="bottom"/>
            <w:hideMark/>
          </w:tcPr>
          <w:p w14:paraId="454475C5"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nil"/>
              <w:right w:val="nil"/>
            </w:tcBorders>
            <w:shd w:val="clear" w:color="000000" w:fill="FFFFFF"/>
            <w:noWrap/>
            <w:vAlign w:val="bottom"/>
            <w:hideMark/>
          </w:tcPr>
          <w:p w14:paraId="6E66D876"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nil"/>
              <w:right w:val="nil"/>
            </w:tcBorders>
            <w:shd w:val="clear" w:color="000000" w:fill="FFFFFF"/>
            <w:noWrap/>
            <w:vAlign w:val="bottom"/>
            <w:hideMark/>
          </w:tcPr>
          <w:p w14:paraId="7A8B1529"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nil"/>
              <w:right w:val="nil"/>
            </w:tcBorders>
            <w:shd w:val="clear" w:color="000000" w:fill="FFFFFF"/>
            <w:noWrap/>
            <w:vAlign w:val="bottom"/>
            <w:hideMark/>
          </w:tcPr>
          <w:p w14:paraId="44B7AE1F"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nil"/>
              <w:right w:val="nil"/>
            </w:tcBorders>
            <w:shd w:val="clear" w:color="000000" w:fill="FFFFFF"/>
            <w:noWrap/>
            <w:vAlign w:val="bottom"/>
            <w:hideMark/>
          </w:tcPr>
          <w:p w14:paraId="559FA836" w14:textId="77777777" w:rsidR="00DE0FCB" w:rsidRPr="00DE0FCB" w:rsidRDefault="00DE0FCB" w:rsidP="00DE0FCB">
            <w:pPr>
              <w:rPr>
                <w:rFonts w:ascii="Arial" w:hAnsi="Arial" w:cs="Arial"/>
              </w:rPr>
            </w:pPr>
            <w:r w:rsidRPr="00DE0FCB">
              <w:rPr>
                <w:rFonts w:ascii="Arial" w:hAnsi="Arial" w:cs="Arial"/>
              </w:rPr>
              <w:t> </w:t>
            </w:r>
          </w:p>
        </w:tc>
      </w:tr>
      <w:tr w:rsidR="00DE0FCB" w:rsidRPr="00DE0FCB" w14:paraId="220EDAF5" w14:textId="77777777" w:rsidTr="00DE0FCB">
        <w:trPr>
          <w:trHeight w:val="300"/>
        </w:trPr>
        <w:tc>
          <w:tcPr>
            <w:tcW w:w="3280" w:type="dxa"/>
            <w:tcBorders>
              <w:top w:val="nil"/>
              <w:left w:val="nil"/>
              <w:bottom w:val="nil"/>
              <w:right w:val="nil"/>
            </w:tcBorders>
            <w:shd w:val="clear" w:color="000000" w:fill="FFFFFF"/>
            <w:noWrap/>
            <w:vAlign w:val="bottom"/>
            <w:hideMark/>
          </w:tcPr>
          <w:p w14:paraId="0204CB19" w14:textId="77777777" w:rsidR="00DE0FCB" w:rsidRPr="00DE0FCB" w:rsidRDefault="00DE0FCB" w:rsidP="00DE0FCB">
            <w:pPr>
              <w:rPr>
                <w:rFonts w:ascii="Arial" w:hAnsi="Arial" w:cs="Arial"/>
                <w:sz w:val="18"/>
                <w:szCs w:val="18"/>
              </w:rPr>
            </w:pPr>
            <w:r w:rsidRPr="00DE0FCB">
              <w:rPr>
                <w:rFonts w:ascii="Arial" w:hAnsi="Arial" w:cs="Arial"/>
                <w:sz w:val="18"/>
                <w:szCs w:val="18"/>
              </w:rPr>
              <w:t>Drempel van het rijksbudget</w:t>
            </w:r>
          </w:p>
        </w:tc>
        <w:tc>
          <w:tcPr>
            <w:tcW w:w="1375" w:type="dxa"/>
            <w:tcBorders>
              <w:top w:val="nil"/>
              <w:left w:val="nil"/>
              <w:bottom w:val="nil"/>
              <w:right w:val="nil"/>
            </w:tcBorders>
            <w:shd w:val="clear" w:color="000000" w:fill="FFFFFF"/>
            <w:noWrap/>
            <w:vAlign w:val="bottom"/>
            <w:hideMark/>
          </w:tcPr>
          <w:p w14:paraId="0CF0323C"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nil"/>
              <w:right w:val="nil"/>
            </w:tcBorders>
            <w:shd w:val="clear" w:color="000000" w:fill="FFFFFF"/>
            <w:noWrap/>
            <w:vAlign w:val="bottom"/>
            <w:hideMark/>
          </w:tcPr>
          <w:p w14:paraId="75C3EB75"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nil"/>
              <w:right w:val="nil"/>
            </w:tcBorders>
            <w:shd w:val="clear" w:color="000000" w:fill="FFFFFF"/>
            <w:noWrap/>
            <w:vAlign w:val="bottom"/>
            <w:hideMark/>
          </w:tcPr>
          <w:p w14:paraId="782CD928" w14:textId="77777777" w:rsidR="00DE0FCB" w:rsidRPr="00DE0FCB" w:rsidRDefault="00DE0FCB" w:rsidP="00DE0FCB">
            <w:pPr>
              <w:rPr>
                <w:rFonts w:ascii="Arial" w:hAnsi="Arial" w:cs="Arial"/>
              </w:rPr>
            </w:pPr>
            <w:r w:rsidRPr="00DE0FCB">
              <w:rPr>
                <w:rFonts w:ascii="Arial" w:hAnsi="Arial" w:cs="Arial"/>
              </w:rPr>
              <w:t> </w:t>
            </w:r>
          </w:p>
        </w:tc>
        <w:tc>
          <w:tcPr>
            <w:tcW w:w="1375" w:type="dxa"/>
            <w:tcBorders>
              <w:top w:val="nil"/>
              <w:left w:val="nil"/>
              <w:bottom w:val="nil"/>
              <w:right w:val="nil"/>
            </w:tcBorders>
            <w:shd w:val="clear" w:color="000000" w:fill="FFFFFF"/>
            <w:noWrap/>
            <w:vAlign w:val="bottom"/>
            <w:hideMark/>
          </w:tcPr>
          <w:p w14:paraId="6B93D993" w14:textId="77777777" w:rsidR="00DE0FCB" w:rsidRPr="00DE0FCB" w:rsidRDefault="00DE0FCB" w:rsidP="00DE0FCB">
            <w:pPr>
              <w:rPr>
                <w:rFonts w:ascii="Arial" w:hAnsi="Arial" w:cs="Arial"/>
              </w:rPr>
            </w:pPr>
            <w:r w:rsidRPr="00DE0FCB">
              <w:rPr>
                <w:rFonts w:ascii="Arial" w:hAnsi="Arial" w:cs="Arial"/>
              </w:rPr>
              <w:t> </w:t>
            </w:r>
          </w:p>
        </w:tc>
      </w:tr>
      <w:tr w:rsidR="00DE0FCB" w:rsidRPr="00DE0FCB" w14:paraId="67A942E3" w14:textId="77777777" w:rsidTr="00DE0FCB">
        <w:trPr>
          <w:trHeight w:val="300"/>
        </w:trPr>
        <w:tc>
          <w:tcPr>
            <w:tcW w:w="3280" w:type="dxa"/>
            <w:tcBorders>
              <w:top w:val="nil"/>
              <w:left w:val="nil"/>
              <w:bottom w:val="nil"/>
              <w:right w:val="nil"/>
            </w:tcBorders>
            <w:shd w:val="clear" w:color="000000" w:fill="FFFFFF"/>
            <w:noWrap/>
            <w:vAlign w:val="bottom"/>
            <w:hideMark/>
          </w:tcPr>
          <w:p w14:paraId="2EF2BAE7" w14:textId="77777777" w:rsidR="00DE0FCB" w:rsidRPr="00DE0FCB" w:rsidRDefault="00DE0FCB" w:rsidP="00DE0FCB">
            <w:pPr>
              <w:jc w:val="center"/>
              <w:rPr>
                <w:rFonts w:ascii="Arial" w:hAnsi="Arial" w:cs="Arial"/>
                <w:sz w:val="18"/>
                <w:szCs w:val="18"/>
              </w:rPr>
            </w:pPr>
            <w:r w:rsidRPr="00DE0FCB">
              <w:rPr>
                <w:rFonts w:ascii="Arial" w:hAnsi="Arial" w:cs="Arial"/>
                <w:sz w:val="18"/>
                <w:szCs w:val="18"/>
              </w:rPr>
              <w:t>105% / 105% / 105% / 107,5%</w:t>
            </w:r>
          </w:p>
        </w:tc>
        <w:tc>
          <w:tcPr>
            <w:tcW w:w="1375" w:type="dxa"/>
            <w:tcBorders>
              <w:top w:val="nil"/>
              <w:left w:val="nil"/>
              <w:bottom w:val="nil"/>
              <w:right w:val="nil"/>
            </w:tcBorders>
            <w:shd w:val="clear" w:color="000000" w:fill="FFFFFF"/>
            <w:noWrap/>
            <w:vAlign w:val="bottom"/>
            <w:hideMark/>
          </w:tcPr>
          <w:p w14:paraId="30F8F7DA"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3.882.560</w:t>
            </w:r>
          </w:p>
        </w:tc>
        <w:tc>
          <w:tcPr>
            <w:tcW w:w="1375" w:type="dxa"/>
            <w:tcBorders>
              <w:top w:val="nil"/>
              <w:left w:val="nil"/>
              <w:bottom w:val="nil"/>
              <w:right w:val="nil"/>
            </w:tcBorders>
            <w:shd w:val="clear" w:color="000000" w:fill="FFFFFF"/>
            <w:noWrap/>
            <w:vAlign w:val="bottom"/>
            <w:hideMark/>
          </w:tcPr>
          <w:p w14:paraId="5A49280E"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4.272.374</w:t>
            </w:r>
          </w:p>
        </w:tc>
        <w:tc>
          <w:tcPr>
            <w:tcW w:w="1375" w:type="dxa"/>
            <w:tcBorders>
              <w:top w:val="nil"/>
              <w:left w:val="nil"/>
              <w:bottom w:val="nil"/>
              <w:right w:val="nil"/>
            </w:tcBorders>
            <w:shd w:val="clear" w:color="000000" w:fill="FFFFFF"/>
            <w:noWrap/>
            <w:vAlign w:val="bottom"/>
            <w:hideMark/>
          </w:tcPr>
          <w:p w14:paraId="43929453"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4.374.098</w:t>
            </w:r>
          </w:p>
        </w:tc>
        <w:tc>
          <w:tcPr>
            <w:tcW w:w="1375" w:type="dxa"/>
            <w:tcBorders>
              <w:top w:val="nil"/>
              <w:left w:val="nil"/>
              <w:bottom w:val="nil"/>
              <w:right w:val="nil"/>
            </w:tcBorders>
            <w:shd w:val="clear" w:color="000000" w:fill="FFFFFF"/>
            <w:noWrap/>
            <w:vAlign w:val="bottom"/>
            <w:hideMark/>
          </w:tcPr>
          <w:p w14:paraId="69511BED"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4.530.315</w:t>
            </w:r>
          </w:p>
        </w:tc>
      </w:tr>
      <w:tr w:rsidR="00DE0FCB" w:rsidRPr="00DE0FCB" w14:paraId="374B5904" w14:textId="77777777" w:rsidTr="00DE0FCB">
        <w:trPr>
          <w:trHeight w:val="300"/>
        </w:trPr>
        <w:tc>
          <w:tcPr>
            <w:tcW w:w="3280" w:type="dxa"/>
            <w:tcBorders>
              <w:top w:val="nil"/>
              <w:left w:val="nil"/>
              <w:bottom w:val="nil"/>
              <w:right w:val="nil"/>
            </w:tcBorders>
            <w:shd w:val="clear" w:color="000000" w:fill="FFFFFF"/>
            <w:noWrap/>
            <w:vAlign w:val="bottom"/>
            <w:hideMark/>
          </w:tcPr>
          <w:p w14:paraId="6377FEF7" w14:textId="77777777" w:rsidR="00DE0FCB" w:rsidRPr="00DE0FCB" w:rsidRDefault="00DE0FCB" w:rsidP="00DE0FCB">
            <w:pPr>
              <w:jc w:val="center"/>
              <w:rPr>
                <w:rFonts w:ascii="Arial" w:hAnsi="Arial" w:cs="Arial"/>
                <w:sz w:val="18"/>
                <w:szCs w:val="18"/>
              </w:rPr>
            </w:pPr>
            <w:r w:rsidRPr="00DE0FCB">
              <w:rPr>
                <w:rFonts w:ascii="Arial" w:hAnsi="Arial" w:cs="Arial"/>
                <w:sz w:val="18"/>
                <w:szCs w:val="18"/>
              </w:rPr>
              <w:t>110% / 112,5% / 112,5% / 112,5%</w:t>
            </w:r>
          </w:p>
        </w:tc>
        <w:tc>
          <w:tcPr>
            <w:tcW w:w="1375" w:type="dxa"/>
            <w:tcBorders>
              <w:top w:val="nil"/>
              <w:left w:val="nil"/>
              <w:bottom w:val="nil"/>
              <w:right w:val="nil"/>
            </w:tcBorders>
            <w:shd w:val="clear" w:color="000000" w:fill="FFFFFF"/>
            <w:noWrap/>
            <w:vAlign w:val="bottom"/>
            <w:hideMark/>
          </w:tcPr>
          <w:p w14:paraId="0D7D3747"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4.067.444</w:t>
            </w:r>
          </w:p>
        </w:tc>
        <w:tc>
          <w:tcPr>
            <w:tcW w:w="1375" w:type="dxa"/>
            <w:tcBorders>
              <w:top w:val="nil"/>
              <w:left w:val="nil"/>
              <w:bottom w:val="nil"/>
              <w:right w:val="nil"/>
            </w:tcBorders>
            <w:shd w:val="clear" w:color="000000" w:fill="FFFFFF"/>
            <w:noWrap/>
            <w:vAlign w:val="bottom"/>
            <w:hideMark/>
          </w:tcPr>
          <w:p w14:paraId="17BE67B3"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4.577.544</w:t>
            </w:r>
          </w:p>
        </w:tc>
        <w:tc>
          <w:tcPr>
            <w:tcW w:w="1375" w:type="dxa"/>
            <w:tcBorders>
              <w:top w:val="nil"/>
              <w:left w:val="nil"/>
              <w:bottom w:val="nil"/>
              <w:right w:val="nil"/>
            </w:tcBorders>
            <w:shd w:val="clear" w:color="000000" w:fill="FFFFFF"/>
            <w:noWrap/>
            <w:vAlign w:val="bottom"/>
            <w:hideMark/>
          </w:tcPr>
          <w:p w14:paraId="7E9D0DBF"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4.686.533</w:t>
            </w:r>
          </w:p>
        </w:tc>
        <w:tc>
          <w:tcPr>
            <w:tcW w:w="1375" w:type="dxa"/>
            <w:tcBorders>
              <w:top w:val="nil"/>
              <w:left w:val="nil"/>
              <w:bottom w:val="nil"/>
              <w:right w:val="nil"/>
            </w:tcBorders>
            <w:shd w:val="clear" w:color="000000" w:fill="FFFFFF"/>
            <w:noWrap/>
            <w:vAlign w:val="bottom"/>
            <w:hideMark/>
          </w:tcPr>
          <w:p w14:paraId="6A2562C7"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4.741.028</w:t>
            </w:r>
          </w:p>
        </w:tc>
      </w:tr>
      <w:tr w:rsidR="00DE0FCB" w:rsidRPr="00DE0FCB" w14:paraId="6B3FA87D" w14:textId="77777777" w:rsidTr="00DE0FCB">
        <w:trPr>
          <w:trHeight w:val="300"/>
        </w:trPr>
        <w:tc>
          <w:tcPr>
            <w:tcW w:w="3280" w:type="dxa"/>
            <w:tcBorders>
              <w:top w:val="nil"/>
              <w:left w:val="nil"/>
              <w:bottom w:val="nil"/>
              <w:right w:val="nil"/>
            </w:tcBorders>
            <w:shd w:val="clear" w:color="000000" w:fill="FFFFFF"/>
            <w:noWrap/>
            <w:vAlign w:val="bottom"/>
            <w:hideMark/>
          </w:tcPr>
          <w:p w14:paraId="60A2B76E"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c>
          <w:tcPr>
            <w:tcW w:w="1375" w:type="dxa"/>
            <w:tcBorders>
              <w:top w:val="nil"/>
              <w:left w:val="nil"/>
              <w:bottom w:val="nil"/>
              <w:right w:val="nil"/>
            </w:tcBorders>
            <w:shd w:val="clear" w:color="000000" w:fill="FFFFFF"/>
            <w:noWrap/>
            <w:vAlign w:val="bottom"/>
            <w:hideMark/>
          </w:tcPr>
          <w:p w14:paraId="5D63F404"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c>
          <w:tcPr>
            <w:tcW w:w="1375" w:type="dxa"/>
            <w:tcBorders>
              <w:top w:val="nil"/>
              <w:left w:val="nil"/>
              <w:bottom w:val="nil"/>
              <w:right w:val="nil"/>
            </w:tcBorders>
            <w:shd w:val="clear" w:color="000000" w:fill="FFFFFF"/>
            <w:noWrap/>
            <w:vAlign w:val="bottom"/>
            <w:hideMark/>
          </w:tcPr>
          <w:p w14:paraId="5E951D5C"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c>
          <w:tcPr>
            <w:tcW w:w="1375" w:type="dxa"/>
            <w:tcBorders>
              <w:top w:val="nil"/>
              <w:left w:val="nil"/>
              <w:bottom w:val="nil"/>
              <w:right w:val="nil"/>
            </w:tcBorders>
            <w:shd w:val="clear" w:color="000000" w:fill="FFFFFF"/>
            <w:noWrap/>
            <w:vAlign w:val="bottom"/>
            <w:hideMark/>
          </w:tcPr>
          <w:p w14:paraId="19943F72"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c>
          <w:tcPr>
            <w:tcW w:w="1375" w:type="dxa"/>
            <w:tcBorders>
              <w:top w:val="nil"/>
              <w:left w:val="nil"/>
              <w:bottom w:val="nil"/>
              <w:right w:val="nil"/>
            </w:tcBorders>
            <w:shd w:val="clear" w:color="000000" w:fill="FFFFFF"/>
            <w:noWrap/>
            <w:vAlign w:val="bottom"/>
            <w:hideMark/>
          </w:tcPr>
          <w:p w14:paraId="6752B6E7"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r>
      <w:tr w:rsidR="00DE0FCB" w:rsidRPr="00DE0FCB" w14:paraId="66C3EECE" w14:textId="77777777" w:rsidTr="00DE0FCB">
        <w:trPr>
          <w:trHeight w:val="300"/>
        </w:trPr>
        <w:tc>
          <w:tcPr>
            <w:tcW w:w="3280" w:type="dxa"/>
            <w:tcBorders>
              <w:top w:val="nil"/>
              <w:left w:val="nil"/>
              <w:bottom w:val="nil"/>
              <w:right w:val="nil"/>
            </w:tcBorders>
            <w:shd w:val="clear" w:color="000000" w:fill="FFFFFF"/>
            <w:noWrap/>
            <w:vAlign w:val="bottom"/>
            <w:hideMark/>
          </w:tcPr>
          <w:p w14:paraId="042FA4D2" w14:textId="77777777" w:rsidR="00DE0FCB" w:rsidRPr="00DE0FCB" w:rsidRDefault="00DE0FCB" w:rsidP="00DE0FCB">
            <w:pPr>
              <w:rPr>
                <w:rFonts w:ascii="Arial" w:hAnsi="Arial" w:cs="Arial"/>
                <w:sz w:val="18"/>
                <w:szCs w:val="18"/>
              </w:rPr>
            </w:pPr>
            <w:r w:rsidRPr="00DE0FCB">
              <w:rPr>
                <w:rFonts w:ascii="Arial" w:hAnsi="Arial" w:cs="Arial"/>
                <w:sz w:val="18"/>
                <w:szCs w:val="18"/>
              </w:rPr>
              <w:t>Lasten</w:t>
            </w:r>
          </w:p>
        </w:tc>
        <w:tc>
          <w:tcPr>
            <w:tcW w:w="1375" w:type="dxa"/>
            <w:tcBorders>
              <w:top w:val="nil"/>
              <w:left w:val="nil"/>
              <w:bottom w:val="nil"/>
              <w:right w:val="nil"/>
            </w:tcBorders>
            <w:shd w:val="clear" w:color="000000" w:fill="FFFFFF"/>
            <w:noWrap/>
            <w:vAlign w:val="bottom"/>
            <w:hideMark/>
          </w:tcPr>
          <w:p w14:paraId="32D2C4DC"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4.581.444</w:t>
            </w:r>
          </w:p>
        </w:tc>
        <w:tc>
          <w:tcPr>
            <w:tcW w:w="1375" w:type="dxa"/>
            <w:tcBorders>
              <w:top w:val="nil"/>
              <w:left w:val="nil"/>
              <w:bottom w:val="nil"/>
              <w:right w:val="nil"/>
            </w:tcBorders>
            <w:shd w:val="clear" w:color="000000" w:fill="FFFFFF"/>
            <w:noWrap/>
            <w:vAlign w:val="bottom"/>
            <w:hideMark/>
          </w:tcPr>
          <w:p w14:paraId="5AD70B14"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4.636.642</w:t>
            </w:r>
          </w:p>
        </w:tc>
        <w:tc>
          <w:tcPr>
            <w:tcW w:w="1375" w:type="dxa"/>
            <w:tcBorders>
              <w:top w:val="nil"/>
              <w:left w:val="nil"/>
              <w:bottom w:val="nil"/>
              <w:right w:val="nil"/>
            </w:tcBorders>
            <w:shd w:val="clear" w:color="000000" w:fill="FFFFFF"/>
            <w:noWrap/>
            <w:vAlign w:val="bottom"/>
            <w:hideMark/>
          </w:tcPr>
          <w:p w14:paraId="06D0F255"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4.747.038</w:t>
            </w:r>
          </w:p>
        </w:tc>
        <w:tc>
          <w:tcPr>
            <w:tcW w:w="1375" w:type="dxa"/>
            <w:tcBorders>
              <w:top w:val="nil"/>
              <w:left w:val="nil"/>
              <w:bottom w:val="nil"/>
              <w:right w:val="nil"/>
            </w:tcBorders>
            <w:shd w:val="clear" w:color="000000" w:fill="FFFFFF"/>
            <w:noWrap/>
            <w:vAlign w:val="bottom"/>
            <w:hideMark/>
          </w:tcPr>
          <w:p w14:paraId="18ED6838"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4.802.236</w:t>
            </w:r>
          </w:p>
        </w:tc>
      </w:tr>
      <w:tr w:rsidR="00DE0FCB" w:rsidRPr="00DE0FCB" w14:paraId="231EA2A6" w14:textId="77777777" w:rsidTr="00DE0FCB">
        <w:trPr>
          <w:trHeight w:val="300"/>
        </w:trPr>
        <w:tc>
          <w:tcPr>
            <w:tcW w:w="3280" w:type="dxa"/>
            <w:tcBorders>
              <w:top w:val="nil"/>
              <w:left w:val="nil"/>
              <w:bottom w:val="single" w:sz="4" w:space="0" w:color="auto"/>
              <w:right w:val="nil"/>
            </w:tcBorders>
            <w:shd w:val="clear" w:color="000000" w:fill="FFFFFF"/>
            <w:noWrap/>
            <w:vAlign w:val="bottom"/>
            <w:hideMark/>
          </w:tcPr>
          <w:p w14:paraId="05AD331A" w14:textId="77777777" w:rsidR="00DE0FCB" w:rsidRPr="00DE0FCB" w:rsidRDefault="00DE0FCB" w:rsidP="00DE0FCB">
            <w:pPr>
              <w:rPr>
                <w:rFonts w:ascii="Arial" w:hAnsi="Arial" w:cs="Arial"/>
                <w:sz w:val="18"/>
                <w:szCs w:val="18"/>
              </w:rPr>
            </w:pPr>
            <w:r w:rsidRPr="00DE0FCB">
              <w:rPr>
                <w:rFonts w:ascii="Arial" w:hAnsi="Arial" w:cs="Arial"/>
                <w:sz w:val="18"/>
                <w:szCs w:val="18"/>
              </w:rPr>
              <w:t>Baten</w:t>
            </w:r>
          </w:p>
        </w:tc>
        <w:tc>
          <w:tcPr>
            <w:tcW w:w="1375" w:type="dxa"/>
            <w:tcBorders>
              <w:top w:val="nil"/>
              <w:left w:val="nil"/>
              <w:bottom w:val="single" w:sz="4" w:space="0" w:color="auto"/>
              <w:right w:val="nil"/>
            </w:tcBorders>
            <w:shd w:val="clear" w:color="000000" w:fill="FFFFFF"/>
            <w:noWrap/>
            <w:vAlign w:val="bottom"/>
            <w:hideMark/>
          </w:tcPr>
          <w:p w14:paraId="608E0CE3"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107.630</w:t>
            </w:r>
          </w:p>
        </w:tc>
        <w:tc>
          <w:tcPr>
            <w:tcW w:w="1375" w:type="dxa"/>
            <w:tcBorders>
              <w:top w:val="nil"/>
              <w:left w:val="nil"/>
              <w:bottom w:val="single" w:sz="4" w:space="0" w:color="auto"/>
              <w:right w:val="nil"/>
            </w:tcBorders>
            <w:shd w:val="clear" w:color="000000" w:fill="FFFFFF"/>
            <w:noWrap/>
            <w:vAlign w:val="bottom"/>
            <w:hideMark/>
          </w:tcPr>
          <w:p w14:paraId="44915341"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108.926</w:t>
            </w:r>
          </w:p>
        </w:tc>
        <w:tc>
          <w:tcPr>
            <w:tcW w:w="1375" w:type="dxa"/>
            <w:tcBorders>
              <w:top w:val="nil"/>
              <w:left w:val="nil"/>
              <w:bottom w:val="single" w:sz="4" w:space="0" w:color="auto"/>
              <w:right w:val="nil"/>
            </w:tcBorders>
            <w:shd w:val="clear" w:color="000000" w:fill="FFFFFF"/>
            <w:noWrap/>
            <w:vAlign w:val="bottom"/>
            <w:hideMark/>
          </w:tcPr>
          <w:p w14:paraId="1633C8F2"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111.520</w:t>
            </w:r>
          </w:p>
        </w:tc>
        <w:tc>
          <w:tcPr>
            <w:tcW w:w="1375" w:type="dxa"/>
            <w:tcBorders>
              <w:top w:val="nil"/>
              <w:left w:val="nil"/>
              <w:bottom w:val="single" w:sz="4" w:space="0" w:color="auto"/>
              <w:right w:val="nil"/>
            </w:tcBorders>
            <w:shd w:val="clear" w:color="000000" w:fill="FFFFFF"/>
            <w:noWrap/>
            <w:vAlign w:val="bottom"/>
            <w:hideMark/>
          </w:tcPr>
          <w:p w14:paraId="5BB0A7B5"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112.817</w:t>
            </w:r>
          </w:p>
        </w:tc>
      </w:tr>
      <w:tr w:rsidR="00DE0FCB" w:rsidRPr="00DE0FCB" w14:paraId="22691713" w14:textId="77777777" w:rsidTr="00DE0FCB">
        <w:trPr>
          <w:trHeight w:val="300"/>
        </w:trPr>
        <w:tc>
          <w:tcPr>
            <w:tcW w:w="3280" w:type="dxa"/>
            <w:tcBorders>
              <w:top w:val="nil"/>
              <w:left w:val="nil"/>
              <w:bottom w:val="nil"/>
              <w:right w:val="nil"/>
            </w:tcBorders>
            <w:shd w:val="clear" w:color="000000" w:fill="FFFFFF"/>
            <w:noWrap/>
            <w:vAlign w:val="bottom"/>
            <w:hideMark/>
          </w:tcPr>
          <w:p w14:paraId="69527040" w14:textId="77777777" w:rsidR="00DE0FCB" w:rsidRPr="00DE0FCB" w:rsidRDefault="00DE0FCB" w:rsidP="00DE0FCB">
            <w:pPr>
              <w:rPr>
                <w:rFonts w:ascii="Arial" w:hAnsi="Arial" w:cs="Arial"/>
                <w:sz w:val="18"/>
                <w:szCs w:val="18"/>
              </w:rPr>
            </w:pPr>
            <w:r w:rsidRPr="00DE0FCB">
              <w:rPr>
                <w:rFonts w:ascii="Arial" w:hAnsi="Arial" w:cs="Arial"/>
                <w:sz w:val="18"/>
                <w:szCs w:val="18"/>
              </w:rPr>
              <w:t>Saldo</w:t>
            </w:r>
          </w:p>
        </w:tc>
        <w:tc>
          <w:tcPr>
            <w:tcW w:w="1375" w:type="dxa"/>
            <w:tcBorders>
              <w:top w:val="nil"/>
              <w:left w:val="nil"/>
              <w:bottom w:val="nil"/>
              <w:right w:val="nil"/>
            </w:tcBorders>
            <w:shd w:val="clear" w:color="000000" w:fill="FFFFFF"/>
            <w:noWrap/>
            <w:vAlign w:val="bottom"/>
            <w:hideMark/>
          </w:tcPr>
          <w:p w14:paraId="1AA93F10"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4.473.814</w:t>
            </w:r>
          </w:p>
        </w:tc>
        <w:tc>
          <w:tcPr>
            <w:tcW w:w="1375" w:type="dxa"/>
            <w:tcBorders>
              <w:top w:val="nil"/>
              <w:left w:val="nil"/>
              <w:bottom w:val="nil"/>
              <w:right w:val="nil"/>
            </w:tcBorders>
            <w:shd w:val="clear" w:color="000000" w:fill="FFFFFF"/>
            <w:noWrap/>
            <w:vAlign w:val="bottom"/>
            <w:hideMark/>
          </w:tcPr>
          <w:p w14:paraId="69E50D4B"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4.527.715</w:t>
            </w:r>
          </w:p>
        </w:tc>
        <w:tc>
          <w:tcPr>
            <w:tcW w:w="1375" w:type="dxa"/>
            <w:tcBorders>
              <w:top w:val="nil"/>
              <w:left w:val="nil"/>
              <w:bottom w:val="nil"/>
              <w:right w:val="nil"/>
            </w:tcBorders>
            <w:shd w:val="clear" w:color="000000" w:fill="FFFFFF"/>
            <w:noWrap/>
            <w:vAlign w:val="bottom"/>
            <w:hideMark/>
          </w:tcPr>
          <w:p w14:paraId="133BF733"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4.635.518</w:t>
            </w:r>
          </w:p>
        </w:tc>
        <w:tc>
          <w:tcPr>
            <w:tcW w:w="1375" w:type="dxa"/>
            <w:tcBorders>
              <w:top w:val="nil"/>
              <w:left w:val="nil"/>
              <w:bottom w:val="nil"/>
              <w:right w:val="nil"/>
            </w:tcBorders>
            <w:shd w:val="clear" w:color="000000" w:fill="FFFFFF"/>
            <w:noWrap/>
            <w:vAlign w:val="bottom"/>
            <w:hideMark/>
          </w:tcPr>
          <w:p w14:paraId="7E872A27" w14:textId="77777777" w:rsidR="00DE0FCB" w:rsidRPr="00DE0FCB" w:rsidRDefault="00DE0FCB" w:rsidP="00DE0FCB">
            <w:pPr>
              <w:jc w:val="right"/>
              <w:rPr>
                <w:rFonts w:ascii="Arial" w:hAnsi="Arial" w:cs="Arial"/>
                <w:sz w:val="18"/>
                <w:szCs w:val="18"/>
              </w:rPr>
            </w:pPr>
            <w:r w:rsidRPr="00DE0FCB">
              <w:rPr>
                <w:rFonts w:ascii="Arial" w:hAnsi="Arial" w:cs="Arial"/>
                <w:sz w:val="18"/>
                <w:szCs w:val="18"/>
              </w:rPr>
              <w:t>4.689.420</w:t>
            </w:r>
          </w:p>
        </w:tc>
      </w:tr>
      <w:tr w:rsidR="00DE0FCB" w:rsidRPr="00DE0FCB" w14:paraId="75B407A1" w14:textId="77777777" w:rsidTr="00DE0FCB">
        <w:trPr>
          <w:trHeight w:val="300"/>
        </w:trPr>
        <w:tc>
          <w:tcPr>
            <w:tcW w:w="3280" w:type="dxa"/>
            <w:tcBorders>
              <w:top w:val="nil"/>
              <w:left w:val="nil"/>
              <w:bottom w:val="nil"/>
              <w:right w:val="nil"/>
            </w:tcBorders>
            <w:shd w:val="clear" w:color="000000" w:fill="FFFFFF"/>
            <w:noWrap/>
            <w:vAlign w:val="bottom"/>
            <w:hideMark/>
          </w:tcPr>
          <w:p w14:paraId="34A705F3"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c>
          <w:tcPr>
            <w:tcW w:w="1375" w:type="dxa"/>
            <w:tcBorders>
              <w:top w:val="nil"/>
              <w:left w:val="nil"/>
              <w:bottom w:val="nil"/>
              <w:right w:val="nil"/>
            </w:tcBorders>
            <w:shd w:val="clear" w:color="000000" w:fill="FFFFFF"/>
            <w:noWrap/>
            <w:vAlign w:val="bottom"/>
            <w:hideMark/>
          </w:tcPr>
          <w:p w14:paraId="069C1126"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c>
          <w:tcPr>
            <w:tcW w:w="1375" w:type="dxa"/>
            <w:tcBorders>
              <w:top w:val="nil"/>
              <w:left w:val="nil"/>
              <w:bottom w:val="nil"/>
              <w:right w:val="nil"/>
            </w:tcBorders>
            <w:shd w:val="clear" w:color="000000" w:fill="FFFFFF"/>
            <w:noWrap/>
            <w:vAlign w:val="bottom"/>
            <w:hideMark/>
          </w:tcPr>
          <w:p w14:paraId="2C4A986D"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c>
          <w:tcPr>
            <w:tcW w:w="1375" w:type="dxa"/>
            <w:tcBorders>
              <w:top w:val="nil"/>
              <w:left w:val="nil"/>
              <w:bottom w:val="nil"/>
              <w:right w:val="nil"/>
            </w:tcBorders>
            <w:shd w:val="clear" w:color="000000" w:fill="FFFFFF"/>
            <w:noWrap/>
            <w:vAlign w:val="bottom"/>
            <w:hideMark/>
          </w:tcPr>
          <w:p w14:paraId="44C65B39"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c>
          <w:tcPr>
            <w:tcW w:w="1375" w:type="dxa"/>
            <w:tcBorders>
              <w:top w:val="nil"/>
              <w:left w:val="nil"/>
              <w:bottom w:val="nil"/>
              <w:right w:val="nil"/>
            </w:tcBorders>
            <w:shd w:val="clear" w:color="000000" w:fill="FFFFFF"/>
            <w:noWrap/>
            <w:vAlign w:val="bottom"/>
            <w:hideMark/>
          </w:tcPr>
          <w:p w14:paraId="08A67A71" w14:textId="77777777" w:rsidR="00DE0FCB" w:rsidRPr="00DE0FCB" w:rsidRDefault="00DE0FCB" w:rsidP="00DE0FCB">
            <w:pPr>
              <w:rPr>
                <w:rFonts w:ascii="Arial" w:hAnsi="Arial" w:cs="Arial"/>
                <w:sz w:val="18"/>
                <w:szCs w:val="18"/>
              </w:rPr>
            </w:pPr>
            <w:r w:rsidRPr="00DE0FCB">
              <w:rPr>
                <w:rFonts w:ascii="Arial" w:hAnsi="Arial" w:cs="Arial"/>
                <w:sz w:val="18"/>
                <w:szCs w:val="18"/>
              </w:rPr>
              <w:t> </w:t>
            </w:r>
          </w:p>
        </w:tc>
      </w:tr>
      <w:tr w:rsidR="00DE0FCB" w:rsidRPr="00DE0FCB" w14:paraId="1F82D830" w14:textId="77777777" w:rsidTr="00DE0FCB">
        <w:trPr>
          <w:trHeight w:val="315"/>
        </w:trPr>
        <w:tc>
          <w:tcPr>
            <w:tcW w:w="3280" w:type="dxa"/>
            <w:tcBorders>
              <w:top w:val="single" w:sz="4" w:space="0" w:color="auto"/>
              <w:left w:val="nil"/>
              <w:bottom w:val="double" w:sz="6" w:space="0" w:color="auto"/>
              <w:right w:val="nil"/>
            </w:tcBorders>
            <w:shd w:val="clear" w:color="000000" w:fill="FFFF00"/>
            <w:noWrap/>
            <w:vAlign w:val="bottom"/>
            <w:hideMark/>
          </w:tcPr>
          <w:p w14:paraId="1695AFBD" w14:textId="77777777" w:rsidR="00DE0FCB" w:rsidRPr="00DE0FCB" w:rsidRDefault="00DE0FCB" w:rsidP="00DE0FCB">
            <w:pPr>
              <w:rPr>
                <w:rFonts w:ascii="Arial" w:hAnsi="Arial" w:cs="Arial"/>
                <w:b/>
                <w:bCs/>
                <w:sz w:val="18"/>
                <w:szCs w:val="18"/>
              </w:rPr>
            </w:pPr>
            <w:r w:rsidRPr="00DE0FCB">
              <w:rPr>
                <w:rFonts w:ascii="Arial" w:hAnsi="Arial" w:cs="Arial"/>
                <w:b/>
                <w:bCs/>
                <w:sz w:val="18"/>
                <w:szCs w:val="18"/>
              </w:rPr>
              <w:t>saldo -/- drempel</w:t>
            </w:r>
          </w:p>
        </w:tc>
        <w:tc>
          <w:tcPr>
            <w:tcW w:w="1375" w:type="dxa"/>
            <w:tcBorders>
              <w:top w:val="single" w:sz="4" w:space="0" w:color="auto"/>
              <w:left w:val="nil"/>
              <w:bottom w:val="double" w:sz="6" w:space="0" w:color="auto"/>
              <w:right w:val="nil"/>
            </w:tcBorders>
            <w:shd w:val="clear" w:color="000000" w:fill="FFFF00"/>
            <w:noWrap/>
            <w:vAlign w:val="bottom"/>
            <w:hideMark/>
          </w:tcPr>
          <w:p w14:paraId="0783B011" w14:textId="77777777" w:rsidR="00DE0FCB" w:rsidRPr="00DE0FCB" w:rsidRDefault="00DE0FCB" w:rsidP="00DE0FCB">
            <w:pPr>
              <w:jc w:val="right"/>
              <w:rPr>
                <w:rFonts w:ascii="Arial" w:hAnsi="Arial" w:cs="Arial"/>
                <w:b/>
                <w:bCs/>
                <w:sz w:val="18"/>
                <w:szCs w:val="18"/>
              </w:rPr>
            </w:pPr>
            <w:r w:rsidRPr="00DE0FCB">
              <w:rPr>
                <w:rFonts w:ascii="Arial" w:hAnsi="Arial" w:cs="Arial"/>
                <w:b/>
                <w:bCs/>
                <w:sz w:val="18"/>
                <w:szCs w:val="18"/>
              </w:rPr>
              <w:t>591.254</w:t>
            </w:r>
          </w:p>
        </w:tc>
        <w:tc>
          <w:tcPr>
            <w:tcW w:w="1375" w:type="dxa"/>
            <w:tcBorders>
              <w:top w:val="single" w:sz="4" w:space="0" w:color="auto"/>
              <w:left w:val="nil"/>
              <w:bottom w:val="double" w:sz="6" w:space="0" w:color="auto"/>
              <w:right w:val="nil"/>
            </w:tcBorders>
            <w:shd w:val="clear" w:color="000000" w:fill="FFFF00"/>
            <w:noWrap/>
            <w:vAlign w:val="bottom"/>
            <w:hideMark/>
          </w:tcPr>
          <w:p w14:paraId="62063DD0" w14:textId="77777777" w:rsidR="00DE0FCB" w:rsidRPr="00DE0FCB" w:rsidRDefault="00DE0FCB" w:rsidP="00DE0FCB">
            <w:pPr>
              <w:jc w:val="right"/>
              <w:rPr>
                <w:rFonts w:ascii="Arial" w:hAnsi="Arial" w:cs="Arial"/>
                <w:b/>
                <w:bCs/>
                <w:sz w:val="18"/>
                <w:szCs w:val="18"/>
              </w:rPr>
            </w:pPr>
            <w:r w:rsidRPr="00DE0FCB">
              <w:rPr>
                <w:rFonts w:ascii="Arial" w:hAnsi="Arial" w:cs="Arial"/>
                <w:b/>
                <w:bCs/>
                <w:sz w:val="18"/>
                <w:szCs w:val="18"/>
              </w:rPr>
              <w:t>255.341</w:t>
            </w:r>
          </w:p>
        </w:tc>
        <w:tc>
          <w:tcPr>
            <w:tcW w:w="1375" w:type="dxa"/>
            <w:tcBorders>
              <w:top w:val="single" w:sz="4" w:space="0" w:color="auto"/>
              <w:left w:val="nil"/>
              <w:bottom w:val="double" w:sz="6" w:space="0" w:color="auto"/>
              <w:right w:val="nil"/>
            </w:tcBorders>
            <w:shd w:val="clear" w:color="000000" w:fill="FFFF00"/>
            <w:noWrap/>
            <w:vAlign w:val="bottom"/>
            <w:hideMark/>
          </w:tcPr>
          <w:p w14:paraId="247E32E6" w14:textId="77777777" w:rsidR="00DE0FCB" w:rsidRPr="00DE0FCB" w:rsidRDefault="00DE0FCB" w:rsidP="00DE0FCB">
            <w:pPr>
              <w:jc w:val="right"/>
              <w:rPr>
                <w:rFonts w:ascii="Arial" w:hAnsi="Arial" w:cs="Arial"/>
                <w:b/>
                <w:bCs/>
                <w:sz w:val="18"/>
                <w:szCs w:val="18"/>
              </w:rPr>
            </w:pPr>
            <w:r w:rsidRPr="00DE0FCB">
              <w:rPr>
                <w:rFonts w:ascii="Arial" w:hAnsi="Arial" w:cs="Arial"/>
                <w:b/>
                <w:bCs/>
                <w:sz w:val="18"/>
                <w:szCs w:val="18"/>
              </w:rPr>
              <w:t>261.421</w:t>
            </w:r>
          </w:p>
        </w:tc>
        <w:tc>
          <w:tcPr>
            <w:tcW w:w="1375" w:type="dxa"/>
            <w:tcBorders>
              <w:top w:val="single" w:sz="4" w:space="0" w:color="auto"/>
              <w:left w:val="nil"/>
              <w:bottom w:val="double" w:sz="6" w:space="0" w:color="auto"/>
              <w:right w:val="nil"/>
            </w:tcBorders>
            <w:shd w:val="clear" w:color="000000" w:fill="FFFF00"/>
            <w:noWrap/>
            <w:vAlign w:val="bottom"/>
            <w:hideMark/>
          </w:tcPr>
          <w:p w14:paraId="18736F55" w14:textId="77777777" w:rsidR="00DE0FCB" w:rsidRPr="00DE0FCB" w:rsidRDefault="00DE0FCB" w:rsidP="00DE0FCB">
            <w:pPr>
              <w:jc w:val="right"/>
              <w:rPr>
                <w:rFonts w:ascii="Arial" w:hAnsi="Arial" w:cs="Arial"/>
                <w:b/>
                <w:bCs/>
                <w:sz w:val="18"/>
                <w:szCs w:val="18"/>
              </w:rPr>
            </w:pPr>
            <w:r w:rsidRPr="00DE0FCB">
              <w:rPr>
                <w:rFonts w:ascii="Arial" w:hAnsi="Arial" w:cs="Arial"/>
                <w:b/>
                <w:bCs/>
                <w:sz w:val="18"/>
                <w:szCs w:val="18"/>
              </w:rPr>
              <w:t>159.104</w:t>
            </w:r>
          </w:p>
        </w:tc>
      </w:tr>
      <w:tr w:rsidR="00DE0FCB" w:rsidRPr="00DE0FCB" w14:paraId="2C73C704" w14:textId="77777777" w:rsidTr="00DE0FCB">
        <w:trPr>
          <w:trHeight w:val="315"/>
        </w:trPr>
        <w:tc>
          <w:tcPr>
            <w:tcW w:w="3280" w:type="dxa"/>
            <w:tcBorders>
              <w:top w:val="nil"/>
              <w:left w:val="nil"/>
              <w:bottom w:val="nil"/>
              <w:right w:val="nil"/>
            </w:tcBorders>
            <w:shd w:val="clear" w:color="000000" w:fill="FFFFFF"/>
            <w:noWrap/>
            <w:vAlign w:val="bottom"/>
            <w:hideMark/>
          </w:tcPr>
          <w:p w14:paraId="79AC67C6" w14:textId="77777777" w:rsidR="00DE0FCB" w:rsidRPr="00DE0FCB" w:rsidRDefault="00DE0FCB" w:rsidP="00DE0FCB">
            <w:pPr>
              <w:rPr>
                <w:rFonts w:ascii="Calibri" w:hAnsi="Calibri"/>
                <w:color w:val="000000"/>
                <w:sz w:val="22"/>
                <w:szCs w:val="22"/>
              </w:rPr>
            </w:pPr>
            <w:r w:rsidRPr="00DE0FCB">
              <w:rPr>
                <w:rFonts w:ascii="Calibri" w:hAnsi="Calibri"/>
                <w:color w:val="000000"/>
                <w:sz w:val="22"/>
                <w:szCs w:val="22"/>
              </w:rPr>
              <w:t> </w:t>
            </w:r>
          </w:p>
        </w:tc>
        <w:tc>
          <w:tcPr>
            <w:tcW w:w="1375" w:type="dxa"/>
            <w:tcBorders>
              <w:top w:val="nil"/>
              <w:left w:val="nil"/>
              <w:bottom w:val="nil"/>
              <w:right w:val="nil"/>
            </w:tcBorders>
            <w:shd w:val="clear" w:color="000000" w:fill="FFFFFF"/>
            <w:noWrap/>
            <w:vAlign w:val="bottom"/>
            <w:hideMark/>
          </w:tcPr>
          <w:p w14:paraId="66161BED" w14:textId="77777777" w:rsidR="00DE0FCB" w:rsidRPr="00DE0FCB" w:rsidRDefault="00DE0FCB" w:rsidP="00DE0FCB">
            <w:pPr>
              <w:rPr>
                <w:rFonts w:ascii="Calibri" w:hAnsi="Calibri"/>
                <w:color w:val="000000"/>
                <w:sz w:val="22"/>
                <w:szCs w:val="22"/>
              </w:rPr>
            </w:pPr>
            <w:r w:rsidRPr="00DE0FCB">
              <w:rPr>
                <w:rFonts w:ascii="Calibri" w:hAnsi="Calibri"/>
                <w:color w:val="000000"/>
                <w:sz w:val="22"/>
                <w:szCs w:val="22"/>
              </w:rPr>
              <w:t> </w:t>
            </w:r>
          </w:p>
        </w:tc>
        <w:tc>
          <w:tcPr>
            <w:tcW w:w="1375" w:type="dxa"/>
            <w:tcBorders>
              <w:top w:val="nil"/>
              <w:left w:val="nil"/>
              <w:bottom w:val="nil"/>
              <w:right w:val="nil"/>
            </w:tcBorders>
            <w:shd w:val="clear" w:color="000000" w:fill="FFFFFF"/>
            <w:noWrap/>
            <w:vAlign w:val="bottom"/>
            <w:hideMark/>
          </w:tcPr>
          <w:p w14:paraId="793A3CD1" w14:textId="77777777" w:rsidR="00DE0FCB" w:rsidRPr="00DE0FCB" w:rsidRDefault="00DE0FCB" w:rsidP="00DE0FCB">
            <w:pPr>
              <w:rPr>
                <w:rFonts w:ascii="Calibri" w:hAnsi="Calibri"/>
                <w:color w:val="000000"/>
                <w:sz w:val="22"/>
                <w:szCs w:val="22"/>
              </w:rPr>
            </w:pPr>
            <w:r w:rsidRPr="00DE0FCB">
              <w:rPr>
                <w:rFonts w:ascii="Calibri" w:hAnsi="Calibri"/>
                <w:color w:val="000000"/>
                <w:sz w:val="22"/>
                <w:szCs w:val="22"/>
              </w:rPr>
              <w:t> </w:t>
            </w:r>
          </w:p>
        </w:tc>
        <w:tc>
          <w:tcPr>
            <w:tcW w:w="1375" w:type="dxa"/>
            <w:tcBorders>
              <w:top w:val="nil"/>
              <w:left w:val="nil"/>
              <w:bottom w:val="nil"/>
              <w:right w:val="nil"/>
            </w:tcBorders>
            <w:shd w:val="clear" w:color="000000" w:fill="FFFFFF"/>
            <w:noWrap/>
            <w:vAlign w:val="bottom"/>
            <w:hideMark/>
          </w:tcPr>
          <w:p w14:paraId="4A3C2971" w14:textId="77777777" w:rsidR="00DE0FCB" w:rsidRPr="00DE0FCB" w:rsidRDefault="00DE0FCB" w:rsidP="00DE0FCB">
            <w:pPr>
              <w:rPr>
                <w:rFonts w:ascii="Calibri" w:hAnsi="Calibri"/>
                <w:color w:val="000000"/>
                <w:sz w:val="22"/>
                <w:szCs w:val="22"/>
              </w:rPr>
            </w:pPr>
            <w:r w:rsidRPr="00DE0FCB">
              <w:rPr>
                <w:rFonts w:ascii="Calibri" w:hAnsi="Calibri"/>
                <w:color w:val="000000"/>
                <w:sz w:val="22"/>
                <w:szCs w:val="22"/>
              </w:rPr>
              <w:t> </w:t>
            </w:r>
          </w:p>
        </w:tc>
        <w:tc>
          <w:tcPr>
            <w:tcW w:w="1375" w:type="dxa"/>
            <w:tcBorders>
              <w:top w:val="nil"/>
              <w:left w:val="nil"/>
              <w:bottom w:val="nil"/>
              <w:right w:val="nil"/>
            </w:tcBorders>
            <w:shd w:val="clear" w:color="000000" w:fill="FFFFFF"/>
            <w:noWrap/>
            <w:vAlign w:val="bottom"/>
            <w:hideMark/>
          </w:tcPr>
          <w:p w14:paraId="010EB649" w14:textId="77777777" w:rsidR="00DE0FCB" w:rsidRPr="00DE0FCB" w:rsidRDefault="00DE0FCB" w:rsidP="00DE0FCB">
            <w:pPr>
              <w:rPr>
                <w:rFonts w:ascii="Calibri" w:hAnsi="Calibri"/>
                <w:color w:val="000000"/>
                <w:sz w:val="22"/>
                <w:szCs w:val="22"/>
              </w:rPr>
            </w:pPr>
            <w:r w:rsidRPr="00DE0FCB">
              <w:rPr>
                <w:rFonts w:ascii="Calibri" w:hAnsi="Calibri"/>
                <w:color w:val="000000"/>
                <w:sz w:val="22"/>
                <w:szCs w:val="22"/>
              </w:rPr>
              <w:t> </w:t>
            </w:r>
          </w:p>
        </w:tc>
      </w:tr>
      <w:tr w:rsidR="00DE0FCB" w:rsidRPr="00DE0FCB" w14:paraId="7FC0BFBD" w14:textId="77777777" w:rsidTr="00DE0FCB">
        <w:trPr>
          <w:trHeight w:val="315"/>
        </w:trPr>
        <w:tc>
          <w:tcPr>
            <w:tcW w:w="3280" w:type="dxa"/>
            <w:tcBorders>
              <w:top w:val="single" w:sz="4" w:space="0" w:color="auto"/>
              <w:left w:val="nil"/>
              <w:bottom w:val="double" w:sz="6" w:space="0" w:color="auto"/>
              <w:right w:val="nil"/>
            </w:tcBorders>
            <w:shd w:val="clear" w:color="000000" w:fill="FFFF00"/>
            <w:noWrap/>
            <w:vAlign w:val="bottom"/>
            <w:hideMark/>
          </w:tcPr>
          <w:p w14:paraId="70A6BCA4" w14:textId="77777777" w:rsidR="00DE0FCB" w:rsidRPr="00DE0FCB" w:rsidRDefault="00DE0FCB" w:rsidP="00DE0FCB">
            <w:pPr>
              <w:rPr>
                <w:rFonts w:ascii="Arial" w:hAnsi="Arial" w:cs="Arial"/>
                <w:b/>
                <w:bCs/>
                <w:sz w:val="18"/>
                <w:szCs w:val="18"/>
              </w:rPr>
            </w:pPr>
            <w:r w:rsidRPr="00DE0FCB">
              <w:rPr>
                <w:rFonts w:ascii="Arial" w:hAnsi="Arial" w:cs="Arial"/>
                <w:b/>
                <w:bCs/>
                <w:sz w:val="18"/>
                <w:szCs w:val="18"/>
              </w:rPr>
              <w:t>Mogelijke vangnetregeling</w:t>
            </w:r>
          </w:p>
        </w:tc>
        <w:tc>
          <w:tcPr>
            <w:tcW w:w="1375" w:type="dxa"/>
            <w:tcBorders>
              <w:top w:val="nil"/>
              <w:left w:val="nil"/>
              <w:bottom w:val="nil"/>
              <w:right w:val="nil"/>
            </w:tcBorders>
            <w:shd w:val="clear" w:color="auto" w:fill="auto"/>
            <w:noWrap/>
            <w:vAlign w:val="bottom"/>
            <w:hideMark/>
          </w:tcPr>
          <w:p w14:paraId="479FE344" w14:textId="77777777" w:rsidR="00DE0FCB" w:rsidRPr="00DE0FCB" w:rsidRDefault="00DE0FCB" w:rsidP="00DE0FCB">
            <w:pPr>
              <w:jc w:val="center"/>
              <w:rPr>
                <w:rFonts w:ascii="Calibri" w:hAnsi="Calibri"/>
                <w:color w:val="000000"/>
                <w:sz w:val="22"/>
                <w:szCs w:val="22"/>
              </w:rPr>
            </w:pPr>
            <w:r w:rsidRPr="00DE0FCB">
              <w:rPr>
                <w:rFonts w:ascii="Calibri" w:hAnsi="Calibri"/>
                <w:color w:val="000000"/>
                <w:sz w:val="22"/>
                <w:szCs w:val="22"/>
              </w:rPr>
              <w:t>JA</w:t>
            </w:r>
          </w:p>
        </w:tc>
        <w:tc>
          <w:tcPr>
            <w:tcW w:w="1375" w:type="dxa"/>
            <w:tcBorders>
              <w:top w:val="nil"/>
              <w:left w:val="nil"/>
              <w:bottom w:val="nil"/>
              <w:right w:val="nil"/>
            </w:tcBorders>
            <w:shd w:val="clear" w:color="auto" w:fill="auto"/>
            <w:noWrap/>
            <w:vAlign w:val="bottom"/>
            <w:hideMark/>
          </w:tcPr>
          <w:p w14:paraId="5BDE775A" w14:textId="77777777" w:rsidR="00DE0FCB" w:rsidRPr="00DE0FCB" w:rsidRDefault="00DE0FCB" w:rsidP="00DE0FCB">
            <w:pPr>
              <w:jc w:val="center"/>
              <w:rPr>
                <w:rFonts w:ascii="Calibri" w:hAnsi="Calibri"/>
                <w:color w:val="000000"/>
                <w:sz w:val="22"/>
                <w:szCs w:val="22"/>
              </w:rPr>
            </w:pPr>
            <w:r w:rsidRPr="00DE0FCB">
              <w:rPr>
                <w:rFonts w:ascii="Calibri" w:hAnsi="Calibri"/>
                <w:color w:val="000000"/>
                <w:sz w:val="22"/>
                <w:szCs w:val="22"/>
              </w:rPr>
              <w:t>JA</w:t>
            </w:r>
          </w:p>
        </w:tc>
        <w:tc>
          <w:tcPr>
            <w:tcW w:w="1375" w:type="dxa"/>
            <w:tcBorders>
              <w:top w:val="nil"/>
              <w:left w:val="nil"/>
              <w:bottom w:val="nil"/>
              <w:right w:val="nil"/>
            </w:tcBorders>
            <w:shd w:val="clear" w:color="auto" w:fill="auto"/>
            <w:noWrap/>
            <w:vAlign w:val="bottom"/>
            <w:hideMark/>
          </w:tcPr>
          <w:p w14:paraId="009594C3" w14:textId="77777777" w:rsidR="00DE0FCB" w:rsidRPr="00DE0FCB" w:rsidRDefault="00DE0FCB" w:rsidP="00DE0FCB">
            <w:pPr>
              <w:jc w:val="center"/>
              <w:rPr>
                <w:rFonts w:ascii="Calibri" w:hAnsi="Calibri"/>
                <w:color w:val="000000"/>
                <w:sz w:val="22"/>
                <w:szCs w:val="22"/>
              </w:rPr>
            </w:pPr>
            <w:r w:rsidRPr="00DE0FCB">
              <w:rPr>
                <w:rFonts w:ascii="Calibri" w:hAnsi="Calibri"/>
                <w:color w:val="000000"/>
                <w:sz w:val="22"/>
                <w:szCs w:val="22"/>
              </w:rPr>
              <w:t>JA</w:t>
            </w:r>
          </w:p>
        </w:tc>
        <w:tc>
          <w:tcPr>
            <w:tcW w:w="1375" w:type="dxa"/>
            <w:tcBorders>
              <w:top w:val="nil"/>
              <w:left w:val="nil"/>
              <w:bottom w:val="nil"/>
              <w:right w:val="nil"/>
            </w:tcBorders>
            <w:shd w:val="clear" w:color="auto" w:fill="auto"/>
            <w:noWrap/>
            <w:vAlign w:val="bottom"/>
            <w:hideMark/>
          </w:tcPr>
          <w:p w14:paraId="0578A0E2" w14:textId="77777777" w:rsidR="00DE0FCB" w:rsidRPr="00DE0FCB" w:rsidRDefault="00DE0FCB" w:rsidP="00DE0FCB">
            <w:pPr>
              <w:jc w:val="center"/>
              <w:rPr>
                <w:rFonts w:ascii="Calibri" w:hAnsi="Calibri"/>
                <w:color w:val="000000"/>
                <w:sz w:val="22"/>
                <w:szCs w:val="22"/>
              </w:rPr>
            </w:pPr>
            <w:r w:rsidRPr="00DE0FCB">
              <w:rPr>
                <w:rFonts w:ascii="Calibri" w:hAnsi="Calibri"/>
                <w:color w:val="000000"/>
                <w:sz w:val="22"/>
                <w:szCs w:val="22"/>
              </w:rPr>
              <w:t>JA</w:t>
            </w:r>
          </w:p>
        </w:tc>
      </w:tr>
      <w:tr w:rsidR="00DE0FCB" w:rsidRPr="00DE0FCB" w14:paraId="53A05185" w14:textId="77777777" w:rsidTr="00DE0FCB">
        <w:trPr>
          <w:trHeight w:val="315"/>
        </w:trPr>
        <w:tc>
          <w:tcPr>
            <w:tcW w:w="3280" w:type="dxa"/>
            <w:tcBorders>
              <w:top w:val="nil"/>
              <w:left w:val="nil"/>
              <w:bottom w:val="nil"/>
              <w:right w:val="nil"/>
            </w:tcBorders>
            <w:shd w:val="clear" w:color="auto" w:fill="auto"/>
            <w:noWrap/>
            <w:vAlign w:val="bottom"/>
            <w:hideMark/>
          </w:tcPr>
          <w:p w14:paraId="20889F7E" w14:textId="77777777" w:rsidR="00DE0FCB" w:rsidRPr="00DE0FCB" w:rsidRDefault="00DE0FCB" w:rsidP="00DE0FCB">
            <w:pPr>
              <w:jc w:val="center"/>
              <w:rPr>
                <w:rFonts w:ascii="Calibri" w:hAnsi="Calibri"/>
                <w:color w:val="000000"/>
                <w:sz w:val="22"/>
                <w:szCs w:val="22"/>
              </w:rPr>
            </w:pPr>
          </w:p>
        </w:tc>
        <w:tc>
          <w:tcPr>
            <w:tcW w:w="1375" w:type="dxa"/>
            <w:tcBorders>
              <w:top w:val="nil"/>
              <w:left w:val="nil"/>
              <w:bottom w:val="nil"/>
              <w:right w:val="nil"/>
            </w:tcBorders>
            <w:shd w:val="clear" w:color="auto" w:fill="auto"/>
            <w:noWrap/>
            <w:vAlign w:val="bottom"/>
            <w:hideMark/>
          </w:tcPr>
          <w:p w14:paraId="345B79AB" w14:textId="77777777" w:rsidR="00DE0FCB" w:rsidRPr="00DE0FCB" w:rsidRDefault="00DE0FCB" w:rsidP="00DE0FCB">
            <w:pPr>
              <w:rPr>
                <w:rFonts w:ascii="Times New Roman" w:hAnsi="Times New Roman"/>
              </w:rPr>
            </w:pPr>
          </w:p>
        </w:tc>
        <w:tc>
          <w:tcPr>
            <w:tcW w:w="1375" w:type="dxa"/>
            <w:tcBorders>
              <w:top w:val="nil"/>
              <w:left w:val="nil"/>
              <w:bottom w:val="nil"/>
              <w:right w:val="nil"/>
            </w:tcBorders>
            <w:shd w:val="clear" w:color="auto" w:fill="auto"/>
            <w:noWrap/>
            <w:vAlign w:val="bottom"/>
            <w:hideMark/>
          </w:tcPr>
          <w:p w14:paraId="3457673E" w14:textId="77777777" w:rsidR="00DE0FCB" w:rsidRPr="00DE0FCB" w:rsidRDefault="00DE0FCB" w:rsidP="00DE0FCB">
            <w:pPr>
              <w:rPr>
                <w:rFonts w:ascii="Times New Roman" w:hAnsi="Times New Roman"/>
              </w:rPr>
            </w:pPr>
          </w:p>
        </w:tc>
        <w:tc>
          <w:tcPr>
            <w:tcW w:w="1375" w:type="dxa"/>
            <w:tcBorders>
              <w:top w:val="nil"/>
              <w:left w:val="nil"/>
              <w:bottom w:val="nil"/>
              <w:right w:val="nil"/>
            </w:tcBorders>
            <w:shd w:val="clear" w:color="auto" w:fill="auto"/>
            <w:noWrap/>
            <w:vAlign w:val="bottom"/>
            <w:hideMark/>
          </w:tcPr>
          <w:p w14:paraId="1820925D" w14:textId="77777777" w:rsidR="00DE0FCB" w:rsidRPr="00DE0FCB" w:rsidRDefault="00DE0FCB" w:rsidP="00DE0FCB">
            <w:pPr>
              <w:rPr>
                <w:rFonts w:ascii="Times New Roman" w:hAnsi="Times New Roman"/>
              </w:rPr>
            </w:pPr>
          </w:p>
        </w:tc>
        <w:tc>
          <w:tcPr>
            <w:tcW w:w="1375" w:type="dxa"/>
            <w:tcBorders>
              <w:top w:val="nil"/>
              <w:left w:val="nil"/>
              <w:bottom w:val="nil"/>
              <w:right w:val="nil"/>
            </w:tcBorders>
            <w:shd w:val="clear" w:color="auto" w:fill="auto"/>
            <w:noWrap/>
            <w:vAlign w:val="bottom"/>
            <w:hideMark/>
          </w:tcPr>
          <w:p w14:paraId="349BAF49" w14:textId="77777777" w:rsidR="00DE0FCB" w:rsidRPr="00DE0FCB" w:rsidRDefault="00DE0FCB" w:rsidP="00DE0FCB">
            <w:pPr>
              <w:rPr>
                <w:rFonts w:ascii="Times New Roman" w:hAnsi="Times New Roman"/>
              </w:rPr>
            </w:pPr>
          </w:p>
        </w:tc>
      </w:tr>
      <w:tr w:rsidR="00DE0FCB" w:rsidRPr="00DE0FCB" w14:paraId="7C572DB1" w14:textId="77777777" w:rsidTr="00DE0FCB">
        <w:trPr>
          <w:trHeight w:val="315"/>
        </w:trPr>
        <w:tc>
          <w:tcPr>
            <w:tcW w:w="3280" w:type="dxa"/>
            <w:tcBorders>
              <w:top w:val="single" w:sz="4" w:space="0" w:color="auto"/>
              <w:left w:val="nil"/>
              <w:bottom w:val="double" w:sz="6" w:space="0" w:color="auto"/>
              <w:right w:val="nil"/>
            </w:tcBorders>
            <w:shd w:val="clear" w:color="000000" w:fill="FFFF00"/>
            <w:noWrap/>
            <w:vAlign w:val="bottom"/>
            <w:hideMark/>
          </w:tcPr>
          <w:p w14:paraId="48643887" w14:textId="77777777" w:rsidR="00DE0FCB" w:rsidRPr="00DE0FCB" w:rsidRDefault="00DE0FCB" w:rsidP="00DE0FCB">
            <w:pPr>
              <w:rPr>
                <w:rFonts w:ascii="Arial" w:hAnsi="Arial" w:cs="Arial"/>
                <w:b/>
                <w:bCs/>
                <w:sz w:val="18"/>
                <w:szCs w:val="18"/>
              </w:rPr>
            </w:pPr>
            <w:r w:rsidRPr="00DE0FCB">
              <w:rPr>
                <w:rFonts w:ascii="Arial" w:hAnsi="Arial" w:cs="Arial"/>
                <w:b/>
                <w:bCs/>
                <w:sz w:val="18"/>
                <w:szCs w:val="18"/>
              </w:rPr>
              <w:t>Mogelijke vangnetregeling in €</w:t>
            </w:r>
          </w:p>
        </w:tc>
        <w:tc>
          <w:tcPr>
            <w:tcW w:w="1375" w:type="dxa"/>
            <w:tcBorders>
              <w:top w:val="nil"/>
              <w:left w:val="nil"/>
              <w:bottom w:val="nil"/>
              <w:right w:val="nil"/>
            </w:tcBorders>
            <w:shd w:val="clear" w:color="auto" w:fill="auto"/>
            <w:noWrap/>
            <w:vAlign w:val="bottom"/>
            <w:hideMark/>
          </w:tcPr>
          <w:p w14:paraId="47D96B62" w14:textId="77777777" w:rsidR="00DE0FCB" w:rsidRPr="00DE0FCB" w:rsidRDefault="00DE0FCB" w:rsidP="00DE0FCB">
            <w:pPr>
              <w:jc w:val="center"/>
              <w:rPr>
                <w:rFonts w:ascii="Calibri" w:hAnsi="Calibri"/>
                <w:color w:val="000000"/>
                <w:sz w:val="22"/>
                <w:szCs w:val="22"/>
              </w:rPr>
            </w:pPr>
            <w:r w:rsidRPr="00DE0FCB">
              <w:rPr>
                <w:rFonts w:ascii="Calibri" w:hAnsi="Calibri"/>
                <w:color w:val="000000"/>
                <w:sz w:val="22"/>
                <w:szCs w:val="22"/>
              </w:rPr>
              <w:t>498.812</w:t>
            </w:r>
          </w:p>
        </w:tc>
        <w:tc>
          <w:tcPr>
            <w:tcW w:w="1375" w:type="dxa"/>
            <w:tcBorders>
              <w:top w:val="nil"/>
              <w:left w:val="nil"/>
              <w:bottom w:val="nil"/>
              <w:right w:val="nil"/>
            </w:tcBorders>
            <w:shd w:val="clear" w:color="auto" w:fill="auto"/>
            <w:noWrap/>
            <w:vAlign w:val="bottom"/>
            <w:hideMark/>
          </w:tcPr>
          <w:p w14:paraId="7AF96E5B" w14:textId="77777777" w:rsidR="00DE0FCB" w:rsidRPr="00DE0FCB" w:rsidRDefault="00DE0FCB" w:rsidP="00DE0FCB">
            <w:pPr>
              <w:jc w:val="center"/>
              <w:rPr>
                <w:rFonts w:ascii="Calibri" w:hAnsi="Calibri"/>
                <w:color w:val="000000"/>
                <w:sz w:val="22"/>
                <w:szCs w:val="22"/>
              </w:rPr>
            </w:pPr>
            <w:r w:rsidRPr="00DE0FCB">
              <w:rPr>
                <w:rFonts w:ascii="Calibri" w:hAnsi="Calibri"/>
                <w:color w:val="000000"/>
                <w:sz w:val="22"/>
                <w:szCs w:val="22"/>
              </w:rPr>
              <w:t>127.671</w:t>
            </w:r>
          </w:p>
        </w:tc>
        <w:tc>
          <w:tcPr>
            <w:tcW w:w="1375" w:type="dxa"/>
            <w:tcBorders>
              <w:top w:val="nil"/>
              <w:left w:val="nil"/>
              <w:bottom w:val="nil"/>
              <w:right w:val="nil"/>
            </w:tcBorders>
            <w:shd w:val="clear" w:color="auto" w:fill="auto"/>
            <w:noWrap/>
            <w:vAlign w:val="bottom"/>
            <w:hideMark/>
          </w:tcPr>
          <w:p w14:paraId="4E0B9E81" w14:textId="77777777" w:rsidR="00DE0FCB" w:rsidRPr="00DE0FCB" w:rsidRDefault="00DE0FCB" w:rsidP="00DE0FCB">
            <w:pPr>
              <w:jc w:val="center"/>
              <w:rPr>
                <w:rFonts w:ascii="Calibri" w:hAnsi="Calibri"/>
                <w:color w:val="000000"/>
                <w:sz w:val="22"/>
                <w:szCs w:val="22"/>
              </w:rPr>
            </w:pPr>
            <w:r w:rsidRPr="00DE0FCB">
              <w:rPr>
                <w:rFonts w:ascii="Calibri" w:hAnsi="Calibri"/>
                <w:color w:val="000000"/>
                <w:sz w:val="22"/>
                <w:szCs w:val="22"/>
              </w:rPr>
              <w:t>130.710</w:t>
            </w:r>
          </w:p>
        </w:tc>
        <w:tc>
          <w:tcPr>
            <w:tcW w:w="1375" w:type="dxa"/>
            <w:tcBorders>
              <w:top w:val="nil"/>
              <w:left w:val="nil"/>
              <w:bottom w:val="nil"/>
              <w:right w:val="nil"/>
            </w:tcBorders>
            <w:shd w:val="clear" w:color="auto" w:fill="auto"/>
            <w:noWrap/>
            <w:vAlign w:val="bottom"/>
            <w:hideMark/>
          </w:tcPr>
          <w:p w14:paraId="2ECCA809" w14:textId="77777777" w:rsidR="00DE0FCB" w:rsidRPr="00DE0FCB" w:rsidRDefault="00DE0FCB" w:rsidP="00DE0FCB">
            <w:pPr>
              <w:jc w:val="center"/>
              <w:rPr>
                <w:rFonts w:ascii="Calibri" w:hAnsi="Calibri"/>
                <w:color w:val="000000"/>
                <w:sz w:val="22"/>
                <w:szCs w:val="22"/>
              </w:rPr>
            </w:pPr>
            <w:r w:rsidRPr="00DE0FCB">
              <w:rPr>
                <w:rFonts w:ascii="Calibri" w:hAnsi="Calibri"/>
                <w:color w:val="000000"/>
                <w:sz w:val="22"/>
                <w:szCs w:val="22"/>
              </w:rPr>
              <w:t>79.552</w:t>
            </w:r>
          </w:p>
        </w:tc>
      </w:tr>
    </w:tbl>
    <w:p w14:paraId="0B9F26D9" w14:textId="77777777" w:rsidR="009250D3" w:rsidRDefault="009250D3"/>
    <w:p w14:paraId="28759F34" w14:textId="3A872798" w:rsidR="009D1563" w:rsidRPr="003C48E0" w:rsidRDefault="009D1563">
      <w:pPr>
        <w:rPr>
          <w:sz w:val="14"/>
          <w:szCs w:val="14"/>
        </w:rPr>
      </w:pPr>
      <w:r w:rsidRPr="003C48E0">
        <w:rPr>
          <w:sz w:val="14"/>
          <w:szCs w:val="14"/>
        </w:rPr>
        <w:t>Cijfers 2016 o.g.v. de realisatie tot en met oktober 2016</w:t>
      </w:r>
    </w:p>
    <w:p w14:paraId="4369524D" w14:textId="77777777" w:rsidR="009D1563" w:rsidRPr="003C48E0" w:rsidRDefault="009D1563">
      <w:pPr>
        <w:rPr>
          <w:sz w:val="14"/>
          <w:szCs w:val="14"/>
        </w:rPr>
      </w:pPr>
    </w:p>
    <w:p w14:paraId="2969E5A2" w14:textId="65A99EBD" w:rsidR="009250D3" w:rsidRPr="003C48E0" w:rsidRDefault="009250D3">
      <w:pPr>
        <w:rPr>
          <w:sz w:val="14"/>
          <w:szCs w:val="14"/>
        </w:rPr>
      </w:pPr>
      <w:r w:rsidRPr="003C48E0">
        <w:rPr>
          <w:sz w:val="14"/>
          <w:szCs w:val="14"/>
        </w:rPr>
        <w:t>Uitgangspunten voor 2017:</w:t>
      </w:r>
      <w:r w:rsidR="00B70F07">
        <w:rPr>
          <w:sz w:val="14"/>
          <w:szCs w:val="14"/>
        </w:rPr>
        <w:t xml:space="preserve"> </w:t>
      </w:r>
      <w:r w:rsidRPr="003C48E0">
        <w:rPr>
          <w:sz w:val="14"/>
          <w:szCs w:val="14"/>
        </w:rPr>
        <w:br/>
        <w:t>-</w:t>
      </w:r>
      <w:r w:rsidR="00152C26" w:rsidRPr="003C48E0">
        <w:rPr>
          <w:sz w:val="14"/>
          <w:szCs w:val="14"/>
        </w:rPr>
        <w:t xml:space="preserve"> </w:t>
      </w:r>
      <w:r w:rsidRPr="003C48E0">
        <w:rPr>
          <w:sz w:val="14"/>
          <w:szCs w:val="14"/>
        </w:rPr>
        <w:t>CPB: MEV 2017 (sept 2016)</w:t>
      </w:r>
      <w:r w:rsidR="003B2ADA" w:rsidRPr="003C48E0">
        <w:rPr>
          <w:sz w:val="14"/>
          <w:szCs w:val="14"/>
        </w:rPr>
        <w:t>.</w:t>
      </w:r>
      <w:r w:rsidRPr="003C48E0">
        <w:rPr>
          <w:sz w:val="14"/>
          <w:szCs w:val="14"/>
        </w:rPr>
        <w:br/>
        <w:t>- Stijging bijstandsuitkeringen van 415.000 naar 420.000 in 2017. Dit is een stijging van: 1,2%</w:t>
      </w:r>
      <w:r w:rsidR="003B2ADA" w:rsidRPr="003C48E0">
        <w:rPr>
          <w:sz w:val="14"/>
          <w:szCs w:val="14"/>
        </w:rPr>
        <w:t>.</w:t>
      </w:r>
      <w:r w:rsidR="003B2ADA" w:rsidRPr="003C48E0">
        <w:rPr>
          <w:sz w:val="14"/>
          <w:szCs w:val="14"/>
        </w:rPr>
        <w:br/>
        <w:t>- Voorlopige BUIG budgetten (30 sept 2016).</w:t>
      </w:r>
    </w:p>
    <w:p w14:paraId="3FBF5AC5" w14:textId="3FCD28F5" w:rsidR="00152C26" w:rsidRPr="003C48E0" w:rsidRDefault="00152C26" w:rsidP="00152C26">
      <w:pPr>
        <w:rPr>
          <w:sz w:val="14"/>
          <w:szCs w:val="14"/>
        </w:rPr>
      </w:pPr>
      <w:r w:rsidRPr="003C48E0">
        <w:rPr>
          <w:sz w:val="14"/>
          <w:szCs w:val="14"/>
        </w:rPr>
        <w:t>- Cijfers prognose 2017 gebaseerd op prognose 2016.</w:t>
      </w:r>
    </w:p>
    <w:p w14:paraId="4452CDC4" w14:textId="77777777" w:rsidR="003B2ADA" w:rsidRPr="003C48E0" w:rsidRDefault="003B2ADA">
      <w:pPr>
        <w:rPr>
          <w:sz w:val="14"/>
          <w:szCs w:val="14"/>
        </w:rPr>
      </w:pPr>
    </w:p>
    <w:p w14:paraId="1F67E347" w14:textId="5829D4CF" w:rsidR="003B2ADA" w:rsidRPr="003C48E0" w:rsidRDefault="003B2ADA">
      <w:pPr>
        <w:rPr>
          <w:sz w:val="14"/>
          <w:szCs w:val="14"/>
        </w:rPr>
      </w:pPr>
      <w:r w:rsidRPr="003C48E0">
        <w:rPr>
          <w:sz w:val="14"/>
          <w:szCs w:val="14"/>
        </w:rPr>
        <w:t>Uitgangspunten voor 2018:</w:t>
      </w:r>
      <w:r w:rsidRPr="003C48E0">
        <w:rPr>
          <w:sz w:val="14"/>
          <w:szCs w:val="14"/>
        </w:rPr>
        <w:br/>
        <w:t>- CPB: Middellange-termijnverkenning 2018-2021 (mrt 2016).</w:t>
      </w:r>
      <w:r w:rsidRPr="003C48E0">
        <w:rPr>
          <w:sz w:val="14"/>
          <w:szCs w:val="14"/>
        </w:rPr>
        <w:br/>
        <w:t xml:space="preserve">- Stijging bijstandsuitkeringen van 420.000 naar 430.000 in 2018. Dit is een stijging van: 2,4%. </w:t>
      </w:r>
    </w:p>
    <w:p w14:paraId="37ACB710" w14:textId="4342EA81" w:rsidR="003B2ADA" w:rsidRPr="003C48E0" w:rsidRDefault="003B2ADA">
      <w:pPr>
        <w:rPr>
          <w:sz w:val="14"/>
          <w:szCs w:val="14"/>
        </w:rPr>
      </w:pPr>
      <w:r w:rsidRPr="003C48E0">
        <w:rPr>
          <w:sz w:val="14"/>
          <w:szCs w:val="14"/>
        </w:rPr>
        <w:t>- Voorlopige BUIG budgetten (30 sept 2016) * 2,4 %.</w:t>
      </w:r>
      <w:r w:rsidRPr="003C48E0">
        <w:rPr>
          <w:sz w:val="14"/>
          <w:szCs w:val="14"/>
        </w:rPr>
        <w:br/>
        <w:t>- Cijfers prognose 2018 gebaseerd op prognose 2017.</w:t>
      </w:r>
    </w:p>
    <w:p w14:paraId="544DB7CB" w14:textId="77777777" w:rsidR="003B2ADA" w:rsidRPr="003C48E0" w:rsidRDefault="003B2ADA">
      <w:pPr>
        <w:rPr>
          <w:sz w:val="14"/>
          <w:szCs w:val="14"/>
        </w:rPr>
      </w:pPr>
    </w:p>
    <w:p w14:paraId="4490BDAA" w14:textId="285DF676" w:rsidR="003B2ADA" w:rsidRPr="003C48E0" w:rsidRDefault="003B2ADA">
      <w:pPr>
        <w:rPr>
          <w:sz w:val="14"/>
          <w:szCs w:val="14"/>
        </w:rPr>
      </w:pPr>
      <w:r w:rsidRPr="003C48E0">
        <w:rPr>
          <w:sz w:val="14"/>
          <w:szCs w:val="14"/>
        </w:rPr>
        <w:t>Uitgangspunten voor 2019:</w:t>
      </w:r>
    </w:p>
    <w:p w14:paraId="141C9A73" w14:textId="07E7275A" w:rsidR="003B2ADA" w:rsidRPr="003C48E0" w:rsidRDefault="003B2ADA">
      <w:pPr>
        <w:rPr>
          <w:sz w:val="14"/>
          <w:szCs w:val="14"/>
        </w:rPr>
      </w:pPr>
      <w:r w:rsidRPr="003C48E0">
        <w:rPr>
          <w:sz w:val="14"/>
          <w:szCs w:val="14"/>
        </w:rPr>
        <w:t>- CPB: Middellange-termijnverkenning 2018-2021 (mrt 2016).</w:t>
      </w:r>
    </w:p>
    <w:p w14:paraId="5F5C932B" w14:textId="57D5E1C3" w:rsidR="003B2ADA" w:rsidRPr="003C48E0" w:rsidRDefault="003B2ADA">
      <w:pPr>
        <w:rPr>
          <w:sz w:val="14"/>
          <w:szCs w:val="14"/>
        </w:rPr>
      </w:pPr>
      <w:r w:rsidRPr="003C48E0">
        <w:rPr>
          <w:sz w:val="14"/>
          <w:szCs w:val="14"/>
        </w:rPr>
        <w:t>- Stijging bijstandsuitkeringen van 430.000 naar 435.000 in 2018. Dit is een stijging van: 1,2%.</w:t>
      </w:r>
    </w:p>
    <w:p w14:paraId="49DD62AA" w14:textId="77AF486F" w:rsidR="003B2ADA" w:rsidRPr="003C48E0" w:rsidRDefault="003B2ADA">
      <w:pPr>
        <w:rPr>
          <w:sz w:val="14"/>
          <w:szCs w:val="14"/>
        </w:rPr>
      </w:pPr>
      <w:r w:rsidRPr="003C48E0">
        <w:rPr>
          <w:sz w:val="14"/>
          <w:szCs w:val="14"/>
        </w:rPr>
        <w:t>- Voorlopige BUIG budgetten (30 sept 2016) * 1,2 %</w:t>
      </w:r>
      <w:r w:rsidR="00152C26" w:rsidRPr="003C48E0">
        <w:rPr>
          <w:sz w:val="14"/>
          <w:szCs w:val="14"/>
        </w:rPr>
        <w:t>.</w:t>
      </w:r>
    </w:p>
    <w:p w14:paraId="1A7AC489" w14:textId="537EBA56" w:rsidR="00152C26" w:rsidRPr="003C48E0" w:rsidRDefault="00152C26">
      <w:pPr>
        <w:rPr>
          <w:sz w:val="14"/>
          <w:szCs w:val="14"/>
        </w:rPr>
      </w:pPr>
      <w:r w:rsidRPr="003C48E0">
        <w:rPr>
          <w:sz w:val="14"/>
          <w:szCs w:val="14"/>
        </w:rPr>
        <w:t>- Cijfers prognose 2019 gebaseerd op prognose 2018.</w:t>
      </w:r>
    </w:p>
    <w:sectPr w:rsidR="00152C26" w:rsidRPr="003C48E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252B4" w14:textId="77777777" w:rsidR="002F2FA0" w:rsidRDefault="002F2FA0" w:rsidP="00EB3358">
      <w:r>
        <w:separator/>
      </w:r>
    </w:p>
  </w:endnote>
  <w:endnote w:type="continuationSeparator" w:id="0">
    <w:p w14:paraId="7A2DD988" w14:textId="77777777" w:rsidR="002F2FA0" w:rsidRDefault="002F2FA0" w:rsidP="00EB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FUIText-Regular">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729138"/>
      <w:docPartObj>
        <w:docPartGallery w:val="Page Numbers (Bottom of Page)"/>
        <w:docPartUnique/>
      </w:docPartObj>
    </w:sdtPr>
    <w:sdtEndPr>
      <w:rPr>
        <w:noProof/>
      </w:rPr>
    </w:sdtEndPr>
    <w:sdtContent>
      <w:p w14:paraId="379958AC" w14:textId="385F43EA" w:rsidR="00682CF9" w:rsidRDefault="00682CF9">
        <w:pPr>
          <w:pStyle w:val="Voettekst"/>
        </w:pPr>
        <w:r>
          <w:fldChar w:fldCharType="begin"/>
        </w:r>
        <w:r>
          <w:instrText xml:space="preserve"> PAGE   \* MERGEFORMAT </w:instrText>
        </w:r>
        <w:r>
          <w:fldChar w:fldCharType="separate"/>
        </w:r>
        <w:r w:rsidR="00657AFD">
          <w:rPr>
            <w:noProof/>
          </w:rPr>
          <w:t>2</w:t>
        </w:r>
        <w:r>
          <w:rPr>
            <w:noProof/>
          </w:rPr>
          <w:fldChar w:fldCharType="end"/>
        </w:r>
      </w:p>
    </w:sdtContent>
  </w:sdt>
  <w:p w14:paraId="2FDC99AA" w14:textId="77777777" w:rsidR="00682CF9" w:rsidRDefault="00682CF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40328" w14:textId="77777777" w:rsidR="002F2FA0" w:rsidRDefault="002F2FA0" w:rsidP="00EB3358">
      <w:r>
        <w:separator/>
      </w:r>
    </w:p>
  </w:footnote>
  <w:footnote w:type="continuationSeparator" w:id="0">
    <w:p w14:paraId="5A83958B" w14:textId="77777777" w:rsidR="002F2FA0" w:rsidRDefault="002F2FA0" w:rsidP="00EB3358">
      <w:r>
        <w:continuationSeparator/>
      </w:r>
    </w:p>
  </w:footnote>
  <w:footnote w:id="1">
    <w:p w14:paraId="1B7C0D99" w14:textId="07FFF87B" w:rsidR="00EB3358" w:rsidRPr="00EB3358" w:rsidRDefault="00EB3358">
      <w:pPr>
        <w:pStyle w:val="Voetnoottekst"/>
        <w:rPr>
          <w:sz w:val="16"/>
          <w:szCs w:val="16"/>
        </w:rPr>
      </w:pPr>
      <w:r w:rsidRPr="00EB3358">
        <w:rPr>
          <w:rStyle w:val="Voetnootmarkering"/>
          <w:sz w:val="16"/>
          <w:szCs w:val="16"/>
        </w:rPr>
        <w:footnoteRef/>
      </w:r>
      <w:r w:rsidRPr="00EB3358">
        <w:rPr>
          <w:sz w:val="16"/>
          <w:szCs w:val="16"/>
        </w:rPr>
        <w:t xml:space="preserve"> Zie bijlage 1</w:t>
      </w:r>
    </w:p>
  </w:footnote>
  <w:footnote w:id="2">
    <w:p w14:paraId="527A4D0C" w14:textId="4A552BC4" w:rsidR="00D7411A" w:rsidRPr="00D7411A" w:rsidRDefault="00D7411A">
      <w:pPr>
        <w:pStyle w:val="Voetnoottekst"/>
        <w:rPr>
          <w:sz w:val="14"/>
          <w:szCs w:val="14"/>
        </w:rPr>
      </w:pPr>
      <w:r w:rsidRPr="00D7411A">
        <w:rPr>
          <w:rStyle w:val="Voetnootmarkering"/>
          <w:sz w:val="14"/>
          <w:szCs w:val="14"/>
        </w:rPr>
        <w:footnoteRef/>
      </w:r>
      <w:r w:rsidRPr="00D7411A">
        <w:rPr>
          <w:sz w:val="14"/>
          <w:szCs w:val="14"/>
        </w:rPr>
        <w:t xml:space="preserve"> UWV: Regio in Beeld 2016 Drechtsteden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A62A0"/>
    <w:multiLevelType w:val="hybridMultilevel"/>
    <w:tmpl w:val="A8AEADEA"/>
    <w:lvl w:ilvl="0" w:tplc="04130001">
      <w:start w:val="1"/>
      <w:numFmt w:val="bullet"/>
      <w:lvlText w:val=""/>
      <w:lvlJc w:val="left"/>
      <w:pPr>
        <w:ind w:left="786" w:hanging="360"/>
      </w:pPr>
      <w:rPr>
        <w:rFonts w:ascii="Symbol" w:hAnsi="Symbol" w:hint="default"/>
        <w:b w:val="0"/>
        <w:i w:val="0"/>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1" w15:restartNumberingAfterBreak="0">
    <w:nsid w:val="13A66ABC"/>
    <w:multiLevelType w:val="multilevel"/>
    <w:tmpl w:val="0CC08BA6"/>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15:restartNumberingAfterBreak="0">
    <w:nsid w:val="33BD241A"/>
    <w:multiLevelType w:val="multilevel"/>
    <w:tmpl w:val="5BE618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491B94"/>
    <w:multiLevelType w:val="hybridMultilevel"/>
    <w:tmpl w:val="645C8C2C"/>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577912"/>
    <w:multiLevelType w:val="hybridMultilevel"/>
    <w:tmpl w:val="9DBCB1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DD6E74"/>
    <w:multiLevelType w:val="hybridMultilevel"/>
    <w:tmpl w:val="BF06C7C8"/>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4E6460A"/>
    <w:multiLevelType w:val="hybridMultilevel"/>
    <w:tmpl w:val="7674BF54"/>
    <w:lvl w:ilvl="0" w:tplc="04130001">
      <w:start w:val="1"/>
      <w:numFmt w:val="bullet"/>
      <w:lvlText w:val=""/>
      <w:lvlJc w:val="left"/>
      <w:pPr>
        <w:ind w:left="360" w:hanging="360"/>
      </w:pPr>
      <w:rPr>
        <w:rFonts w:ascii="Symbol" w:hAnsi="Symbol" w:hint="default"/>
        <w:b w:val="0"/>
        <w:i w:val="0"/>
      </w:rPr>
    </w:lvl>
    <w:lvl w:ilvl="1" w:tplc="04130019">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7" w15:restartNumberingAfterBreak="0">
    <w:nsid w:val="5A6A608B"/>
    <w:multiLevelType w:val="hybridMultilevel"/>
    <w:tmpl w:val="1C1A62F0"/>
    <w:lvl w:ilvl="0" w:tplc="07E4284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047CED"/>
    <w:multiLevelType w:val="hybridMultilevel"/>
    <w:tmpl w:val="6E68E728"/>
    <w:lvl w:ilvl="0" w:tplc="8AD6977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B183972"/>
    <w:multiLevelType w:val="hybridMultilevel"/>
    <w:tmpl w:val="00A2B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0"/>
  </w:num>
  <w:num w:numId="6">
    <w:abstractNumId w:val="6"/>
  </w:num>
  <w:num w:numId="7">
    <w:abstractNumId w:val="7"/>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AA"/>
    <w:rsid w:val="00010082"/>
    <w:rsid w:val="000476AF"/>
    <w:rsid w:val="000750C4"/>
    <w:rsid w:val="00095A91"/>
    <w:rsid w:val="000C7BBF"/>
    <w:rsid w:val="000E2B9F"/>
    <w:rsid w:val="000E56F4"/>
    <w:rsid w:val="001016BC"/>
    <w:rsid w:val="00135250"/>
    <w:rsid w:val="00142C17"/>
    <w:rsid w:val="00152C26"/>
    <w:rsid w:val="001A0A67"/>
    <w:rsid w:val="001C247A"/>
    <w:rsid w:val="001C278B"/>
    <w:rsid w:val="001C78A7"/>
    <w:rsid w:val="001E7B1E"/>
    <w:rsid w:val="00200C55"/>
    <w:rsid w:val="00233858"/>
    <w:rsid w:val="00257E1D"/>
    <w:rsid w:val="00270914"/>
    <w:rsid w:val="0028728A"/>
    <w:rsid w:val="00291FD7"/>
    <w:rsid w:val="002F2FA0"/>
    <w:rsid w:val="0035148D"/>
    <w:rsid w:val="00363949"/>
    <w:rsid w:val="00367B68"/>
    <w:rsid w:val="00371CEC"/>
    <w:rsid w:val="003B2ADA"/>
    <w:rsid w:val="003C48E0"/>
    <w:rsid w:val="00421C76"/>
    <w:rsid w:val="00452342"/>
    <w:rsid w:val="004944C5"/>
    <w:rsid w:val="00494A82"/>
    <w:rsid w:val="004B1FAD"/>
    <w:rsid w:val="004C76D9"/>
    <w:rsid w:val="004E6F39"/>
    <w:rsid w:val="005120B3"/>
    <w:rsid w:val="00531178"/>
    <w:rsid w:val="00554EFD"/>
    <w:rsid w:val="00592D08"/>
    <w:rsid w:val="00606D9C"/>
    <w:rsid w:val="006254A9"/>
    <w:rsid w:val="00657AFD"/>
    <w:rsid w:val="00682CF9"/>
    <w:rsid w:val="006A3D0F"/>
    <w:rsid w:val="006D2D8C"/>
    <w:rsid w:val="007251D5"/>
    <w:rsid w:val="00727905"/>
    <w:rsid w:val="00785AF7"/>
    <w:rsid w:val="007A527C"/>
    <w:rsid w:val="007A79B6"/>
    <w:rsid w:val="007E434D"/>
    <w:rsid w:val="00844455"/>
    <w:rsid w:val="0086353E"/>
    <w:rsid w:val="00886668"/>
    <w:rsid w:val="008B70AA"/>
    <w:rsid w:val="00921CE1"/>
    <w:rsid w:val="009250D3"/>
    <w:rsid w:val="009433FF"/>
    <w:rsid w:val="009777B6"/>
    <w:rsid w:val="009B71C0"/>
    <w:rsid w:val="009D1563"/>
    <w:rsid w:val="009E3CF6"/>
    <w:rsid w:val="00A474DC"/>
    <w:rsid w:val="00A72B5F"/>
    <w:rsid w:val="00AD19F9"/>
    <w:rsid w:val="00B02561"/>
    <w:rsid w:val="00B31379"/>
    <w:rsid w:val="00B651E2"/>
    <w:rsid w:val="00B70F07"/>
    <w:rsid w:val="00B84B04"/>
    <w:rsid w:val="00BD3443"/>
    <w:rsid w:val="00BE11BA"/>
    <w:rsid w:val="00C23B16"/>
    <w:rsid w:val="00C43544"/>
    <w:rsid w:val="00C8472A"/>
    <w:rsid w:val="00CE14F7"/>
    <w:rsid w:val="00CE5B1A"/>
    <w:rsid w:val="00D24ED1"/>
    <w:rsid w:val="00D37A4B"/>
    <w:rsid w:val="00D73DF1"/>
    <w:rsid w:val="00D7411A"/>
    <w:rsid w:val="00D81ADC"/>
    <w:rsid w:val="00DB268A"/>
    <w:rsid w:val="00DB4534"/>
    <w:rsid w:val="00DD4F9D"/>
    <w:rsid w:val="00DE0FCB"/>
    <w:rsid w:val="00DF6912"/>
    <w:rsid w:val="00E04867"/>
    <w:rsid w:val="00E21547"/>
    <w:rsid w:val="00E40359"/>
    <w:rsid w:val="00E573F8"/>
    <w:rsid w:val="00E72660"/>
    <w:rsid w:val="00E7698B"/>
    <w:rsid w:val="00E940DD"/>
    <w:rsid w:val="00E95AF4"/>
    <w:rsid w:val="00EB3358"/>
    <w:rsid w:val="00EB4477"/>
    <w:rsid w:val="00EB6D48"/>
    <w:rsid w:val="00F56B64"/>
    <w:rsid w:val="00F825E8"/>
    <w:rsid w:val="00F9081A"/>
    <w:rsid w:val="00FA7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3BE6"/>
  <w15:chartTrackingRefBased/>
  <w15:docId w15:val="{8A4C469F-4C76-499C-B46C-C76482A65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0AA"/>
    <w:pPr>
      <w:spacing w:after="0" w:line="240" w:lineRule="auto"/>
    </w:pPr>
    <w:rPr>
      <w:rFonts w:ascii="Univers" w:eastAsia="Times New Roman" w:hAnsi="Univers"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
    <w:name w:val="Hoofdtekst"/>
    <w:rsid w:val="008B70AA"/>
    <w:pPr>
      <w:pBdr>
        <w:top w:val="nil"/>
        <w:left w:val="nil"/>
        <w:bottom w:val="nil"/>
        <w:right w:val="nil"/>
        <w:between w:val="nil"/>
        <w:bar w:val="nil"/>
      </w:pBdr>
      <w:spacing w:after="0" w:line="240" w:lineRule="auto"/>
    </w:pPr>
    <w:rPr>
      <w:rFonts w:ascii="Arial" w:eastAsia="Arial Unicode MS" w:hAnsi="Arial Unicode MS" w:cs="Arial Unicode MS"/>
      <w:color w:val="000000"/>
      <w:sz w:val="20"/>
      <w:szCs w:val="20"/>
      <w:u w:color="000000"/>
      <w:bdr w:val="nil"/>
      <w:lang w:eastAsia="nl-NL"/>
    </w:rPr>
  </w:style>
  <w:style w:type="character" w:styleId="Verwijzingopmerking">
    <w:name w:val="annotation reference"/>
    <w:rsid w:val="008B70AA"/>
    <w:rPr>
      <w:sz w:val="16"/>
      <w:szCs w:val="16"/>
    </w:rPr>
  </w:style>
  <w:style w:type="paragraph" w:styleId="Tekstopmerking">
    <w:name w:val="annotation text"/>
    <w:basedOn w:val="Standaard"/>
    <w:link w:val="TekstopmerkingChar"/>
    <w:rsid w:val="008B70AA"/>
  </w:style>
  <w:style w:type="character" w:customStyle="1" w:styleId="TekstopmerkingChar">
    <w:name w:val="Tekst opmerking Char"/>
    <w:basedOn w:val="Standaardalinea-lettertype"/>
    <w:link w:val="Tekstopmerking"/>
    <w:rsid w:val="008B70AA"/>
    <w:rPr>
      <w:rFonts w:ascii="Univers" w:eastAsia="Times New Roman" w:hAnsi="Univers" w:cs="Times New Roman"/>
      <w:sz w:val="20"/>
      <w:szCs w:val="20"/>
      <w:lang w:eastAsia="nl-NL"/>
    </w:rPr>
  </w:style>
  <w:style w:type="paragraph" w:styleId="Ballontekst">
    <w:name w:val="Balloon Text"/>
    <w:basedOn w:val="Standaard"/>
    <w:link w:val="BallontekstChar"/>
    <w:uiPriority w:val="99"/>
    <w:semiHidden/>
    <w:unhideWhenUsed/>
    <w:rsid w:val="008B70A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70AA"/>
    <w:rPr>
      <w:rFonts w:ascii="Segoe UI" w:eastAsia="Times New Roman" w:hAnsi="Segoe UI" w:cs="Segoe UI"/>
      <w:sz w:val="18"/>
      <w:szCs w:val="18"/>
      <w:lang w:eastAsia="nl-NL"/>
    </w:rPr>
  </w:style>
  <w:style w:type="paragraph" w:styleId="Tekstzonderopmaak">
    <w:name w:val="Plain Text"/>
    <w:basedOn w:val="Standaard"/>
    <w:link w:val="TekstzonderopmaakChar"/>
    <w:uiPriority w:val="99"/>
    <w:unhideWhenUsed/>
    <w:rsid w:val="008B70AA"/>
    <w:rPr>
      <w:rFonts w:ascii="Calibri" w:eastAsia="Calibri" w:hAnsi="Calibri"/>
      <w:sz w:val="22"/>
      <w:szCs w:val="21"/>
      <w:lang w:eastAsia="en-US"/>
    </w:rPr>
  </w:style>
  <w:style w:type="character" w:customStyle="1" w:styleId="TekstzonderopmaakChar">
    <w:name w:val="Tekst zonder opmaak Char"/>
    <w:basedOn w:val="Standaardalinea-lettertype"/>
    <w:link w:val="Tekstzonderopmaak"/>
    <w:uiPriority w:val="99"/>
    <w:rsid w:val="008B70AA"/>
    <w:rPr>
      <w:rFonts w:ascii="Calibri" w:eastAsia="Calibri" w:hAnsi="Calibri" w:cs="Times New Roman"/>
      <w:szCs w:val="21"/>
    </w:rPr>
  </w:style>
  <w:style w:type="paragraph" w:styleId="Lijstalinea">
    <w:name w:val="List Paragraph"/>
    <w:basedOn w:val="Standaard"/>
    <w:uiPriority w:val="34"/>
    <w:qFormat/>
    <w:rsid w:val="00B84B04"/>
    <w:pPr>
      <w:ind w:left="720"/>
      <w:contextualSpacing/>
    </w:pPr>
    <w:rPr>
      <w:rFonts w:ascii="Arial" w:hAnsi="Arial"/>
      <w:szCs w:val="24"/>
    </w:rPr>
  </w:style>
  <w:style w:type="paragraph" w:styleId="Voetnoottekst">
    <w:name w:val="footnote text"/>
    <w:basedOn w:val="Standaard"/>
    <w:link w:val="VoetnoottekstChar"/>
    <w:uiPriority w:val="99"/>
    <w:semiHidden/>
    <w:unhideWhenUsed/>
    <w:rsid w:val="00EB3358"/>
  </w:style>
  <w:style w:type="character" w:customStyle="1" w:styleId="VoetnoottekstChar">
    <w:name w:val="Voetnoottekst Char"/>
    <w:basedOn w:val="Standaardalinea-lettertype"/>
    <w:link w:val="Voetnoottekst"/>
    <w:uiPriority w:val="99"/>
    <w:semiHidden/>
    <w:rsid w:val="00EB3358"/>
    <w:rPr>
      <w:rFonts w:ascii="Univers" w:eastAsia="Times New Roman" w:hAnsi="Univers" w:cs="Times New Roman"/>
      <w:sz w:val="20"/>
      <w:szCs w:val="20"/>
      <w:lang w:eastAsia="nl-NL"/>
    </w:rPr>
  </w:style>
  <w:style w:type="character" w:styleId="Voetnootmarkering">
    <w:name w:val="footnote reference"/>
    <w:basedOn w:val="Standaardalinea-lettertype"/>
    <w:uiPriority w:val="99"/>
    <w:semiHidden/>
    <w:unhideWhenUsed/>
    <w:rsid w:val="00EB3358"/>
    <w:rPr>
      <w:vertAlign w:val="superscript"/>
    </w:rPr>
  </w:style>
  <w:style w:type="paragraph" w:styleId="Onderwerpvanopmerking">
    <w:name w:val="annotation subject"/>
    <w:basedOn w:val="Tekstopmerking"/>
    <w:next w:val="Tekstopmerking"/>
    <w:link w:val="OnderwerpvanopmerkingChar"/>
    <w:uiPriority w:val="99"/>
    <w:semiHidden/>
    <w:unhideWhenUsed/>
    <w:rsid w:val="00727905"/>
    <w:rPr>
      <w:b/>
      <w:bCs/>
    </w:rPr>
  </w:style>
  <w:style w:type="character" w:customStyle="1" w:styleId="OnderwerpvanopmerkingChar">
    <w:name w:val="Onderwerp van opmerking Char"/>
    <w:basedOn w:val="TekstopmerkingChar"/>
    <w:link w:val="Onderwerpvanopmerking"/>
    <w:uiPriority w:val="99"/>
    <w:semiHidden/>
    <w:rsid w:val="00727905"/>
    <w:rPr>
      <w:rFonts w:ascii="Univers" w:eastAsia="Times New Roman" w:hAnsi="Univers" w:cs="Times New Roman"/>
      <w:b/>
      <w:bCs/>
      <w:sz w:val="20"/>
      <w:szCs w:val="20"/>
      <w:lang w:eastAsia="nl-NL"/>
    </w:rPr>
  </w:style>
  <w:style w:type="character" w:customStyle="1" w:styleId="s1">
    <w:name w:val="s1"/>
    <w:basedOn w:val="Standaardalinea-lettertype"/>
    <w:rsid w:val="0086353E"/>
    <w:rPr>
      <w:rFonts w:ascii=".SFUIText-Regular" w:hAnsi=".SFUIText-Regular" w:hint="default"/>
      <w:b w:val="0"/>
      <w:bCs w:val="0"/>
      <w:i w:val="0"/>
      <w:iCs w:val="0"/>
      <w:sz w:val="34"/>
      <w:szCs w:val="34"/>
    </w:rPr>
  </w:style>
  <w:style w:type="paragraph" w:styleId="Koptekst">
    <w:name w:val="header"/>
    <w:basedOn w:val="Standaard"/>
    <w:link w:val="KoptekstChar"/>
    <w:uiPriority w:val="99"/>
    <w:unhideWhenUsed/>
    <w:rsid w:val="00682CF9"/>
    <w:pPr>
      <w:tabs>
        <w:tab w:val="center" w:pos="4513"/>
        <w:tab w:val="right" w:pos="9026"/>
      </w:tabs>
    </w:pPr>
  </w:style>
  <w:style w:type="character" w:customStyle="1" w:styleId="KoptekstChar">
    <w:name w:val="Koptekst Char"/>
    <w:basedOn w:val="Standaardalinea-lettertype"/>
    <w:link w:val="Koptekst"/>
    <w:uiPriority w:val="99"/>
    <w:rsid w:val="00682CF9"/>
    <w:rPr>
      <w:rFonts w:ascii="Univers" w:eastAsia="Times New Roman" w:hAnsi="Univers" w:cs="Times New Roman"/>
      <w:sz w:val="20"/>
      <w:szCs w:val="20"/>
      <w:lang w:eastAsia="nl-NL"/>
    </w:rPr>
  </w:style>
  <w:style w:type="paragraph" w:styleId="Voettekst">
    <w:name w:val="footer"/>
    <w:basedOn w:val="Standaard"/>
    <w:link w:val="VoettekstChar"/>
    <w:uiPriority w:val="99"/>
    <w:unhideWhenUsed/>
    <w:rsid w:val="00682CF9"/>
    <w:pPr>
      <w:tabs>
        <w:tab w:val="center" w:pos="4513"/>
        <w:tab w:val="right" w:pos="9026"/>
      </w:tabs>
    </w:pPr>
  </w:style>
  <w:style w:type="character" w:customStyle="1" w:styleId="VoettekstChar">
    <w:name w:val="Voettekst Char"/>
    <w:basedOn w:val="Standaardalinea-lettertype"/>
    <w:link w:val="Voettekst"/>
    <w:uiPriority w:val="99"/>
    <w:rsid w:val="00682CF9"/>
    <w:rPr>
      <w:rFonts w:ascii="Univers" w:eastAsia="Times New Roman" w:hAnsi="Univers"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3585">
      <w:bodyDiv w:val="1"/>
      <w:marLeft w:val="0"/>
      <w:marRight w:val="0"/>
      <w:marTop w:val="0"/>
      <w:marBottom w:val="0"/>
      <w:divBdr>
        <w:top w:val="none" w:sz="0" w:space="0" w:color="auto"/>
        <w:left w:val="none" w:sz="0" w:space="0" w:color="auto"/>
        <w:bottom w:val="none" w:sz="0" w:space="0" w:color="auto"/>
        <w:right w:val="none" w:sz="0" w:space="0" w:color="auto"/>
      </w:divBdr>
    </w:div>
    <w:div w:id="468213004">
      <w:bodyDiv w:val="1"/>
      <w:marLeft w:val="0"/>
      <w:marRight w:val="0"/>
      <w:marTop w:val="0"/>
      <w:marBottom w:val="0"/>
      <w:divBdr>
        <w:top w:val="none" w:sz="0" w:space="0" w:color="auto"/>
        <w:left w:val="none" w:sz="0" w:space="0" w:color="auto"/>
        <w:bottom w:val="none" w:sz="0" w:space="0" w:color="auto"/>
        <w:right w:val="none" w:sz="0" w:space="0" w:color="auto"/>
      </w:divBdr>
    </w:div>
    <w:div w:id="755251733">
      <w:bodyDiv w:val="1"/>
      <w:marLeft w:val="0"/>
      <w:marRight w:val="0"/>
      <w:marTop w:val="0"/>
      <w:marBottom w:val="0"/>
      <w:divBdr>
        <w:top w:val="none" w:sz="0" w:space="0" w:color="auto"/>
        <w:left w:val="none" w:sz="0" w:space="0" w:color="auto"/>
        <w:bottom w:val="none" w:sz="0" w:space="0" w:color="auto"/>
        <w:right w:val="none" w:sz="0" w:space="0" w:color="auto"/>
      </w:divBdr>
    </w:div>
    <w:div w:id="1398892430">
      <w:bodyDiv w:val="1"/>
      <w:marLeft w:val="0"/>
      <w:marRight w:val="0"/>
      <w:marTop w:val="0"/>
      <w:marBottom w:val="0"/>
      <w:divBdr>
        <w:top w:val="none" w:sz="0" w:space="0" w:color="auto"/>
        <w:left w:val="none" w:sz="0" w:space="0" w:color="auto"/>
        <w:bottom w:val="none" w:sz="0" w:space="0" w:color="auto"/>
        <w:right w:val="none" w:sz="0" w:space="0" w:color="auto"/>
      </w:divBdr>
    </w:div>
    <w:div w:id="1943030458">
      <w:bodyDiv w:val="1"/>
      <w:marLeft w:val="0"/>
      <w:marRight w:val="0"/>
      <w:marTop w:val="0"/>
      <w:marBottom w:val="0"/>
      <w:divBdr>
        <w:top w:val="none" w:sz="0" w:space="0" w:color="auto"/>
        <w:left w:val="none" w:sz="0" w:space="0" w:color="auto"/>
        <w:bottom w:val="none" w:sz="0" w:space="0" w:color="auto"/>
        <w:right w:val="none" w:sz="0" w:space="0" w:color="auto"/>
      </w:divBdr>
    </w:div>
    <w:div w:id="2044135338">
      <w:bodyDiv w:val="1"/>
      <w:marLeft w:val="0"/>
      <w:marRight w:val="0"/>
      <w:marTop w:val="0"/>
      <w:marBottom w:val="0"/>
      <w:divBdr>
        <w:top w:val="none" w:sz="0" w:space="0" w:color="auto"/>
        <w:left w:val="none" w:sz="0" w:space="0" w:color="auto"/>
        <w:bottom w:val="none" w:sz="0" w:space="0" w:color="auto"/>
        <w:right w:val="none" w:sz="0" w:space="0" w:color="auto"/>
      </w:divBdr>
    </w:div>
    <w:div w:id="2119179253">
      <w:bodyDiv w:val="1"/>
      <w:marLeft w:val="0"/>
      <w:marRight w:val="0"/>
      <w:marTop w:val="0"/>
      <w:marBottom w:val="0"/>
      <w:divBdr>
        <w:top w:val="none" w:sz="0" w:space="0" w:color="auto"/>
        <w:left w:val="none" w:sz="0" w:space="0" w:color="auto"/>
        <w:bottom w:val="none" w:sz="0" w:space="0" w:color="auto"/>
        <w:right w:val="none" w:sz="0" w:space="0" w:color="auto"/>
      </w:divBdr>
    </w:div>
    <w:div w:id="21306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filer.grid.internal\home$\mro008\cijfers%20gemeente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lineChart>
        <c:grouping val="standard"/>
        <c:varyColors val="0"/>
        <c:ser>
          <c:idx val="0"/>
          <c:order val="0"/>
          <c:tx>
            <c:strRef>
              <c:f>Blad1!$O$16</c:f>
              <c:strCache>
                <c:ptCount val="1"/>
                <c:pt idx="0">
                  <c:v>Alblasserdam 2016</c:v>
                </c:pt>
              </c:strCache>
            </c:strRef>
          </c:tx>
          <c:spPr>
            <a:ln w="28575" cap="rnd">
              <a:solidFill>
                <a:schemeClr val="accent1"/>
              </a:solidFill>
              <a:round/>
            </a:ln>
            <a:effectLst/>
          </c:spPr>
          <c:marker>
            <c:symbol val="none"/>
          </c:marker>
          <c:cat>
            <c:strRef>
              <c:f>Blad1!$P$15:$Z$15</c:f>
              <c:strCache>
                <c:ptCount val="11"/>
                <c:pt idx="0">
                  <c:v>januari</c:v>
                </c:pt>
                <c:pt idx="1">
                  <c:v>februari</c:v>
                </c:pt>
                <c:pt idx="2">
                  <c:v>maart</c:v>
                </c:pt>
                <c:pt idx="3">
                  <c:v>april</c:v>
                </c:pt>
                <c:pt idx="4">
                  <c:v>mei</c:v>
                </c:pt>
                <c:pt idx="5">
                  <c:v>juni</c:v>
                </c:pt>
                <c:pt idx="6">
                  <c:v>juli</c:v>
                </c:pt>
                <c:pt idx="7">
                  <c:v>augustus</c:v>
                </c:pt>
                <c:pt idx="8">
                  <c:v>september</c:v>
                </c:pt>
                <c:pt idx="9">
                  <c:v>oktober</c:v>
                </c:pt>
                <c:pt idx="10">
                  <c:v>november</c:v>
                </c:pt>
              </c:strCache>
            </c:strRef>
          </c:cat>
          <c:val>
            <c:numRef>
              <c:f>Blad1!$P$16:$Z$16</c:f>
              <c:numCache>
                <c:formatCode>General</c:formatCode>
                <c:ptCount val="11"/>
                <c:pt idx="0">
                  <c:v>290</c:v>
                </c:pt>
                <c:pt idx="1">
                  <c:v>303</c:v>
                </c:pt>
                <c:pt idx="2">
                  <c:v>311</c:v>
                </c:pt>
                <c:pt idx="3">
                  <c:v>309</c:v>
                </c:pt>
                <c:pt idx="4">
                  <c:v>314</c:v>
                </c:pt>
                <c:pt idx="5">
                  <c:v>321</c:v>
                </c:pt>
                <c:pt idx="6">
                  <c:v>322</c:v>
                </c:pt>
                <c:pt idx="7">
                  <c:v>330</c:v>
                </c:pt>
                <c:pt idx="8">
                  <c:v>330</c:v>
                </c:pt>
                <c:pt idx="9">
                  <c:v>328</c:v>
                </c:pt>
                <c:pt idx="10">
                  <c:v>328</c:v>
                </c:pt>
              </c:numCache>
            </c:numRef>
          </c:val>
          <c:smooth val="0"/>
        </c:ser>
        <c:dLbls>
          <c:showLegendKey val="0"/>
          <c:showVal val="0"/>
          <c:showCatName val="0"/>
          <c:showSerName val="0"/>
          <c:showPercent val="0"/>
          <c:showBubbleSize val="0"/>
        </c:dLbls>
        <c:smooth val="0"/>
        <c:axId val="139479472"/>
        <c:axId val="139201664"/>
      </c:lineChart>
      <c:catAx>
        <c:axId val="13947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9201664"/>
        <c:crosses val="autoZero"/>
        <c:auto val="1"/>
        <c:lblAlgn val="ctr"/>
        <c:lblOffset val="100"/>
        <c:noMultiLvlLbl val="0"/>
      </c:catAx>
      <c:valAx>
        <c:axId val="13920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39479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2057-5670-4A80-B505-415E293D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2422</Words>
  <Characters>13323</Characters>
  <Application>Microsoft Office Word</Application>
  <DocSecurity>4</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Deloitte.</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Gooijer, Michel (NL - Alkmaar)</dc:creator>
  <cp:keywords/>
  <dc:description/>
  <cp:lastModifiedBy>Conrad-Smit, AJA</cp:lastModifiedBy>
  <cp:revision>2</cp:revision>
  <cp:lastPrinted>2017-01-10T08:37:00Z</cp:lastPrinted>
  <dcterms:created xsi:type="dcterms:W3CDTF">2017-01-10T08:37:00Z</dcterms:created>
  <dcterms:modified xsi:type="dcterms:W3CDTF">2017-01-10T08:37:00Z</dcterms:modified>
</cp:coreProperties>
</file>