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EA" w:rsidRPr="00715DEA" w:rsidRDefault="00715DEA" w:rsidP="00715DEA">
      <w:pPr>
        <w:rPr>
          <w:b/>
        </w:rPr>
      </w:pPr>
      <w:r w:rsidRPr="00715DEA">
        <w:rPr>
          <w:b/>
        </w:rPr>
        <w:t>Raadsmemo</w:t>
      </w:r>
    </w:p>
    <w:p w:rsidR="00715DEA" w:rsidRDefault="00715DEA" w:rsidP="00715DEA">
      <w:pPr>
        <w:ind w:left="1416" w:hanging="1416"/>
      </w:pPr>
      <w:r>
        <w:t>Onderwerp</w:t>
      </w:r>
      <w:r>
        <w:tab/>
        <w:t xml:space="preserve">Beantwoording technische vragen bij raadsvoorstellen Perspectiefnota 2018, </w:t>
      </w:r>
      <w:r w:rsidR="006C7C20">
        <w:br/>
      </w:r>
      <w:r>
        <w:t>DO Gemeentehuis en Garantstelling Rivas</w:t>
      </w:r>
    </w:p>
    <w:p w:rsidR="00715DEA" w:rsidRDefault="00715DEA" w:rsidP="00715DEA">
      <w:r>
        <w:t>Datum</w:t>
      </w:r>
      <w:r>
        <w:tab/>
      </w:r>
      <w:r>
        <w:tab/>
        <w:t>16 juni 2017</w:t>
      </w:r>
      <w:r w:rsidR="00FD2767">
        <w:t>, aangevuld 23 juni 2017 (vraag 5 PPN 2018)</w:t>
      </w:r>
    </w:p>
    <w:p w:rsidR="00715DEA" w:rsidRDefault="00715DEA" w:rsidP="00715DEA">
      <w:r>
        <w:t>Afzender</w:t>
      </w:r>
      <w:r>
        <w:tab/>
        <w:t>P.J. Verheij</w:t>
      </w:r>
    </w:p>
    <w:p w:rsidR="00715DEA" w:rsidRDefault="00715DEA" w:rsidP="00715DEA">
      <w:r>
        <w:t>Tel.nr.</w:t>
      </w:r>
      <w:r>
        <w:tab/>
      </w:r>
      <w:r>
        <w:tab/>
        <w:t>(078) 770 6003</w:t>
      </w:r>
    </w:p>
    <w:p w:rsidR="00715DEA" w:rsidRPr="00715DEA" w:rsidRDefault="00715DEA" w:rsidP="00715DEA">
      <w:r>
        <w:t>Emailadres</w:t>
      </w:r>
      <w:r>
        <w:tab/>
      </w:r>
      <w:r w:rsidRPr="00715DEA">
        <w:t>p.j.verheij@alblasserdam.nl</w:t>
      </w:r>
    </w:p>
    <w:p w:rsidR="00715DEA" w:rsidRDefault="00715DEA" w:rsidP="00715DEA"/>
    <w:p w:rsidR="00715DEA" w:rsidRDefault="00715DEA" w:rsidP="00715DEA">
      <w:r>
        <w:t>Geachte leden van de gemeenteraad,</w:t>
      </w:r>
    </w:p>
    <w:p w:rsidR="00715DEA" w:rsidRDefault="00715DEA" w:rsidP="00715DEA">
      <w:r>
        <w:t xml:space="preserve">Bijgevoegd stuk wordt u ter kennisname toegezonden. </w:t>
      </w:r>
    </w:p>
    <w:p w:rsidR="00715DEA" w:rsidRDefault="00715DEA" w:rsidP="00715DEA">
      <w:r>
        <w:t>Het betreft informatie waarvan het nuttig gevonden wordt dat u ervan op de hoogte bent, dan wel de toezending van een door het college of een lid van het college in commissie of raad toegezegd stuk.</w:t>
      </w:r>
    </w:p>
    <w:p w:rsidR="00715DEA" w:rsidRDefault="00715DEA" w:rsidP="00715DEA">
      <w:r>
        <w:t>In tegenstelling tot het verstrekken van informatie via een raadsinformatiebrief is de raadsmemo niet vooraf in het college besproken en vastgesteld.</w:t>
      </w:r>
    </w:p>
    <w:p w:rsidR="00715DEA" w:rsidRDefault="00715DEA" w:rsidP="00715DEA">
      <w:r>
        <w:t>Bijgaand treft u aan:</w:t>
      </w:r>
    </w:p>
    <w:p w:rsidR="00715DEA" w:rsidRDefault="00715DEA" w:rsidP="00715DEA">
      <w:pPr>
        <w:pStyle w:val="Lijstalinea"/>
        <w:numPr>
          <w:ilvl w:val="0"/>
          <w:numId w:val="1"/>
        </w:numPr>
      </w:pPr>
      <w:r>
        <w:t>beantwoording technische vragen Perspectiefnota 2018</w:t>
      </w:r>
    </w:p>
    <w:p w:rsidR="00715DEA" w:rsidRDefault="00715DEA" w:rsidP="00715DEA">
      <w:pPr>
        <w:pStyle w:val="Lijstalinea"/>
        <w:numPr>
          <w:ilvl w:val="0"/>
          <w:numId w:val="1"/>
        </w:numPr>
      </w:pPr>
      <w:r>
        <w:t>beantwoording technische vragen DO gemeentehuis</w:t>
      </w:r>
    </w:p>
    <w:p w:rsidR="00715DEA" w:rsidRDefault="00715DEA" w:rsidP="00715DEA">
      <w:pPr>
        <w:pStyle w:val="Lijstalinea"/>
        <w:numPr>
          <w:ilvl w:val="0"/>
          <w:numId w:val="1"/>
        </w:numPr>
      </w:pPr>
      <w:r>
        <w:t>beantwoording technische vragen Garantstelling Rivas</w:t>
      </w:r>
    </w:p>
    <w:p w:rsidR="00715DEA" w:rsidRPr="00715DEA" w:rsidRDefault="00715DEA">
      <w:pPr>
        <w:rPr>
          <w:b/>
        </w:rPr>
      </w:pPr>
      <w:r>
        <w:rPr>
          <w:b/>
        </w:rPr>
        <w:t>Technische vragen Perspectiefnota 2018</w:t>
      </w:r>
    </w:p>
    <w:tbl>
      <w:tblPr>
        <w:tblStyle w:val="Tabelraster"/>
        <w:tblW w:w="0" w:type="auto"/>
        <w:tblLayout w:type="fixed"/>
        <w:tblLook w:val="04A0" w:firstRow="1" w:lastRow="0" w:firstColumn="1" w:lastColumn="0" w:noHBand="0" w:noVBand="1"/>
      </w:tblPr>
      <w:tblGrid>
        <w:gridCol w:w="392"/>
        <w:gridCol w:w="2410"/>
        <w:gridCol w:w="698"/>
        <w:gridCol w:w="5680"/>
      </w:tblGrid>
      <w:tr w:rsidR="004A3957" w:rsidTr="0042776B">
        <w:trPr>
          <w:cantSplit/>
          <w:tblHeader/>
        </w:trPr>
        <w:tc>
          <w:tcPr>
            <w:tcW w:w="392" w:type="dxa"/>
          </w:tcPr>
          <w:p w:rsidR="00715DEA" w:rsidRPr="00715DEA" w:rsidRDefault="00D57A48">
            <w:pPr>
              <w:rPr>
                <w:b/>
                <w:sz w:val="16"/>
                <w:szCs w:val="16"/>
              </w:rPr>
            </w:pPr>
            <w:r>
              <w:rPr>
                <w:b/>
                <w:sz w:val="16"/>
                <w:szCs w:val="16"/>
              </w:rPr>
              <w:tab/>
            </w:r>
          </w:p>
        </w:tc>
        <w:tc>
          <w:tcPr>
            <w:tcW w:w="2410" w:type="dxa"/>
          </w:tcPr>
          <w:p w:rsidR="00715DEA" w:rsidRPr="00715DEA" w:rsidRDefault="00715DEA">
            <w:pPr>
              <w:rPr>
                <w:b/>
                <w:sz w:val="16"/>
                <w:szCs w:val="16"/>
              </w:rPr>
            </w:pPr>
            <w:r w:rsidRPr="00715DEA">
              <w:rPr>
                <w:b/>
                <w:sz w:val="16"/>
                <w:szCs w:val="16"/>
              </w:rPr>
              <w:t>Vraag</w:t>
            </w:r>
          </w:p>
        </w:tc>
        <w:tc>
          <w:tcPr>
            <w:tcW w:w="698" w:type="dxa"/>
          </w:tcPr>
          <w:p w:rsidR="00715DEA" w:rsidRPr="00715DEA" w:rsidRDefault="00715DEA">
            <w:pPr>
              <w:rPr>
                <w:b/>
                <w:sz w:val="16"/>
                <w:szCs w:val="16"/>
              </w:rPr>
            </w:pPr>
            <w:r w:rsidRPr="00715DEA">
              <w:rPr>
                <w:b/>
                <w:sz w:val="16"/>
                <w:szCs w:val="16"/>
              </w:rPr>
              <w:t>Partij</w:t>
            </w:r>
          </w:p>
        </w:tc>
        <w:tc>
          <w:tcPr>
            <w:tcW w:w="5680" w:type="dxa"/>
          </w:tcPr>
          <w:p w:rsidR="00715DEA" w:rsidRPr="00715DEA" w:rsidRDefault="00715DEA">
            <w:pPr>
              <w:rPr>
                <w:b/>
                <w:sz w:val="16"/>
                <w:szCs w:val="16"/>
              </w:rPr>
            </w:pPr>
            <w:r w:rsidRPr="00715DEA">
              <w:rPr>
                <w:b/>
                <w:sz w:val="16"/>
                <w:szCs w:val="16"/>
              </w:rPr>
              <w:t>Antwoord</w:t>
            </w:r>
          </w:p>
        </w:tc>
      </w:tr>
      <w:tr w:rsidR="004A3957" w:rsidTr="0042776B">
        <w:trPr>
          <w:cantSplit/>
        </w:trPr>
        <w:tc>
          <w:tcPr>
            <w:tcW w:w="392" w:type="dxa"/>
          </w:tcPr>
          <w:p w:rsidR="00715DEA" w:rsidRPr="00715DEA" w:rsidRDefault="00715DEA">
            <w:pPr>
              <w:rPr>
                <w:sz w:val="16"/>
                <w:szCs w:val="16"/>
              </w:rPr>
            </w:pPr>
            <w:r>
              <w:rPr>
                <w:sz w:val="16"/>
                <w:szCs w:val="16"/>
              </w:rPr>
              <w:t>1</w:t>
            </w:r>
          </w:p>
        </w:tc>
        <w:tc>
          <w:tcPr>
            <w:tcW w:w="2410" w:type="dxa"/>
          </w:tcPr>
          <w:p w:rsidR="00715DEA" w:rsidRPr="00715DEA" w:rsidRDefault="00715DEA">
            <w:pPr>
              <w:rPr>
                <w:sz w:val="16"/>
                <w:szCs w:val="16"/>
              </w:rPr>
            </w:pPr>
            <w:r w:rsidRPr="00715DEA">
              <w:rPr>
                <w:sz w:val="16"/>
                <w:szCs w:val="16"/>
              </w:rPr>
              <w:t>Voor de jaren na 2018 is geen geld gereserveerd voor het op weg en naar werk helpen van statushouders. Is dit niet meer nodig na 2018? Het geld wat de gemeente krijgt van het rijk in 2017 vanuit de decembercirculaire is nog steeds niet bekend, wat is hiervan de oorzaak?</w:t>
            </w:r>
          </w:p>
        </w:tc>
        <w:tc>
          <w:tcPr>
            <w:tcW w:w="698" w:type="dxa"/>
          </w:tcPr>
          <w:p w:rsidR="00715DEA" w:rsidRPr="00715DEA" w:rsidRDefault="002938C9">
            <w:pPr>
              <w:rPr>
                <w:sz w:val="16"/>
                <w:szCs w:val="16"/>
              </w:rPr>
            </w:pPr>
            <w:r>
              <w:rPr>
                <w:sz w:val="16"/>
                <w:szCs w:val="16"/>
              </w:rPr>
              <w:t>CU</w:t>
            </w:r>
          </w:p>
        </w:tc>
        <w:tc>
          <w:tcPr>
            <w:tcW w:w="5680" w:type="dxa"/>
          </w:tcPr>
          <w:p w:rsidR="008D482B" w:rsidRDefault="008D482B">
            <w:pPr>
              <w:rPr>
                <w:sz w:val="16"/>
                <w:szCs w:val="16"/>
              </w:rPr>
            </w:pPr>
            <w:r w:rsidRPr="008D482B">
              <w:rPr>
                <w:sz w:val="16"/>
                <w:szCs w:val="16"/>
              </w:rPr>
              <w:t>Het Drechtstedenbestuur heeft in december 2016 ingestemd met de aanpak voor integratie van statushouders van de Sociale dienst Drechtsteden in 2017 en 2018.</w:t>
            </w:r>
            <w:r>
              <w:rPr>
                <w:sz w:val="16"/>
                <w:szCs w:val="16"/>
              </w:rPr>
              <w:t xml:space="preserve"> Of dit na 2018 niet meer nodig is, is geen technische vraag, maar beleidsinhoudelijk. </w:t>
            </w:r>
          </w:p>
          <w:p w:rsidR="008D482B" w:rsidRDefault="008D482B">
            <w:pPr>
              <w:rPr>
                <w:sz w:val="16"/>
                <w:szCs w:val="16"/>
              </w:rPr>
            </w:pPr>
            <w:r>
              <w:rPr>
                <w:sz w:val="16"/>
                <w:szCs w:val="16"/>
              </w:rPr>
              <w:t>In de Perspectiefnota zijn nu alleen de middelen opgenomen die nodig zijn ter dekking van de kosten van het vastgesteld beleid voor 2017 en 2018.</w:t>
            </w:r>
          </w:p>
          <w:p w:rsidR="008D482B" w:rsidRDefault="008D482B" w:rsidP="008D482B">
            <w:pPr>
              <w:rPr>
                <w:sz w:val="16"/>
                <w:szCs w:val="16"/>
              </w:rPr>
            </w:pPr>
          </w:p>
          <w:p w:rsidR="00715DEA" w:rsidRPr="00715DEA" w:rsidRDefault="008D482B" w:rsidP="008D482B">
            <w:pPr>
              <w:rPr>
                <w:sz w:val="16"/>
                <w:szCs w:val="16"/>
              </w:rPr>
            </w:pPr>
            <w:r w:rsidRPr="008D482B">
              <w:rPr>
                <w:sz w:val="16"/>
                <w:szCs w:val="16"/>
              </w:rPr>
              <w:t xml:space="preserve">Toekenning van de middelen </w:t>
            </w:r>
            <w:r>
              <w:rPr>
                <w:sz w:val="16"/>
                <w:szCs w:val="16"/>
              </w:rPr>
              <w:t>vind</w:t>
            </w:r>
            <w:r w:rsidRPr="008D482B">
              <w:rPr>
                <w:sz w:val="16"/>
                <w:szCs w:val="16"/>
              </w:rPr>
              <w:t xml:space="preserve"> plaats op basis van de realisatiecijfers van de</w:t>
            </w:r>
            <w:r>
              <w:rPr>
                <w:sz w:val="16"/>
                <w:szCs w:val="16"/>
              </w:rPr>
              <w:t xml:space="preserve"> </w:t>
            </w:r>
            <w:r w:rsidRPr="008D482B">
              <w:rPr>
                <w:sz w:val="16"/>
                <w:szCs w:val="16"/>
              </w:rPr>
              <w:t>huisvestingstaakstelling per gemeente.</w:t>
            </w:r>
            <w:r>
              <w:rPr>
                <w:sz w:val="16"/>
                <w:szCs w:val="16"/>
              </w:rPr>
              <w:t xml:space="preserve"> Voor het jaar 2017 is het bedrag per gemeenten pas bekend gemaakt in de mei-circulaire 2017, </w:t>
            </w:r>
            <w:r w:rsidR="006C0F26">
              <w:rPr>
                <w:sz w:val="16"/>
                <w:szCs w:val="16"/>
              </w:rPr>
              <w:t>die op 31 mei 2017 is gepubliceerd</w:t>
            </w:r>
            <w:r>
              <w:rPr>
                <w:sz w:val="16"/>
                <w:szCs w:val="16"/>
              </w:rPr>
              <w:t xml:space="preserve">. Alblasserdam zal in 2017 € 62.024 ontvangen. Dit bedrag was te laat bekend om te verwerken in de Perspectiefnota 2018 en zal in de begroting 2018 worden verwerkt. </w:t>
            </w:r>
          </w:p>
        </w:tc>
      </w:tr>
      <w:tr w:rsidR="004A3957" w:rsidTr="0042776B">
        <w:trPr>
          <w:cantSplit/>
        </w:trPr>
        <w:tc>
          <w:tcPr>
            <w:tcW w:w="392" w:type="dxa"/>
          </w:tcPr>
          <w:p w:rsidR="00715DEA" w:rsidRPr="00715DEA" w:rsidRDefault="00715DEA">
            <w:pPr>
              <w:rPr>
                <w:sz w:val="16"/>
                <w:szCs w:val="16"/>
              </w:rPr>
            </w:pPr>
            <w:r>
              <w:rPr>
                <w:sz w:val="16"/>
                <w:szCs w:val="16"/>
              </w:rPr>
              <w:t>2</w:t>
            </w:r>
          </w:p>
        </w:tc>
        <w:tc>
          <w:tcPr>
            <w:tcW w:w="2410" w:type="dxa"/>
          </w:tcPr>
          <w:p w:rsidR="00715DEA" w:rsidRPr="00715DEA" w:rsidRDefault="00715DEA">
            <w:pPr>
              <w:rPr>
                <w:sz w:val="16"/>
                <w:szCs w:val="16"/>
              </w:rPr>
            </w:pPr>
            <w:r w:rsidRPr="00715DEA">
              <w:rPr>
                <w:sz w:val="16"/>
                <w:szCs w:val="16"/>
              </w:rPr>
              <w:t>Er wordt een vervangingsplan voor het materieel van de buitendienst aan de raad gepresenteerd. Vooralsnog zien we in het staatje van de perspectiefnota voor 2018 en 2019 maar € 7.000 opgenomen. Is dit wel voldoende?</w:t>
            </w:r>
          </w:p>
        </w:tc>
        <w:tc>
          <w:tcPr>
            <w:tcW w:w="698" w:type="dxa"/>
          </w:tcPr>
          <w:p w:rsidR="00715DEA" w:rsidRPr="00715DEA" w:rsidRDefault="002938C9">
            <w:pPr>
              <w:rPr>
                <w:sz w:val="16"/>
                <w:szCs w:val="16"/>
              </w:rPr>
            </w:pPr>
            <w:r>
              <w:rPr>
                <w:sz w:val="16"/>
                <w:szCs w:val="16"/>
              </w:rPr>
              <w:t>CU</w:t>
            </w:r>
          </w:p>
        </w:tc>
        <w:tc>
          <w:tcPr>
            <w:tcW w:w="5680" w:type="dxa"/>
          </w:tcPr>
          <w:p w:rsidR="00715DEA" w:rsidRDefault="006C0F26" w:rsidP="006C0F26">
            <w:pPr>
              <w:rPr>
                <w:sz w:val="16"/>
                <w:szCs w:val="16"/>
              </w:rPr>
            </w:pPr>
            <w:r>
              <w:rPr>
                <w:sz w:val="16"/>
                <w:szCs w:val="16"/>
              </w:rPr>
              <w:t>Het vervangingsplan zal in de Begroting 2018 worden gepresenteerd in het Investeringsplan 2018-2021. Hierin zullen de investeringskredieten voor de vervangingen worden opgenomen. In de Perspectiefnota is rekening gehouden met de kapitaallasten (afschrijving en rente).</w:t>
            </w:r>
          </w:p>
          <w:p w:rsidR="006C0F26" w:rsidRDefault="006C0F26" w:rsidP="006C0F26">
            <w:pPr>
              <w:rPr>
                <w:sz w:val="16"/>
                <w:szCs w:val="16"/>
              </w:rPr>
            </w:pPr>
          </w:p>
          <w:p w:rsidR="006C0F26" w:rsidRDefault="006C0F26" w:rsidP="006C0F26">
            <w:pPr>
              <w:rPr>
                <w:sz w:val="16"/>
                <w:szCs w:val="16"/>
              </w:rPr>
            </w:pPr>
            <w:r>
              <w:rPr>
                <w:sz w:val="16"/>
                <w:szCs w:val="16"/>
              </w:rPr>
              <w:t>In 2018 en 2019 betreft dat alleen de kapitaallasten voor de vervanging van een tractor in 2017, waarvoor in de 1</w:t>
            </w:r>
            <w:r w:rsidRPr="006C0F26">
              <w:rPr>
                <w:sz w:val="16"/>
                <w:szCs w:val="16"/>
                <w:vertAlign w:val="superscript"/>
              </w:rPr>
              <w:t>e</w:t>
            </w:r>
            <w:r>
              <w:rPr>
                <w:sz w:val="16"/>
                <w:szCs w:val="16"/>
              </w:rPr>
              <w:t xml:space="preserve"> bestuursrapportage 2017 een kredietvoorstel is opgenomen. </w:t>
            </w:r>
          </w:p>
          <w:p w:rsidR="006C0F26" w:rsidRDefault="006C0F26" w:rsidP="006C0F26">
            <w:pPr>
              <w:rPr>
                <w:sz w:val="16"/>
                <w:szCs w:val="16"/>
              </w:rPr>
            </w:pPr>
          </w:p>
          <w:p w:rsidR="006C0F26" w:rsidRPr="00715DEA" w:rsidRDefault="006C0F26" w:rsidP="006C0F26">
            <w:pPr>
              <w:rPr>
                <w:sz w:val="16"/>
                <w:szCs w:val="16"/>
              </w:rPr>
            </w:pPr>
            <w:r>
              <w:rPr>
                <w:sz w:val="16"/>
                <w:szCs w:val="16"/>
              </w:rPr>
              <w:t>De eerstvolgende vervanging staat gepland in 2019 en leidt vanaf 2020 tot hogere kapitaallasten.</w:t>
            </w:r>
          </w:p>
        </w:tc>
      </w:tr>
      <w:tr w:rsidR="004A3957" w:rsidTr="0042776B">
        <w:trPr>
          <w:cantSplit/>
        </w:trPr>
        <w:tc>
          <w:tcPr>
            <w:tcW w:w="392" w:type="dxa"/>
          </w:tcPr>
          <w:p w:rsidR="00715DEA" w:rsidRPr="00715DEA" w:rsidRDefault="00715DEA">
            <w:pPr>
              <w:rPr>
                <w:sz w:val="16"/>
                <w:szCs w:val="16"/>
              </w:rPr>
            </w:pPr>
            <w:r>
              <w:rPr>
                <w:sz w:val="16"/>
                <w:szCs w:val="16"/>
              </w:rPr>
              <w:t>3</w:t>
            </w:r>
          </w:p>
        </w:tc>
        <w:tc>
          <w:tcPr>
            <w:tcW w:w="2410" w:type="dxa"/>
          </w:tcPr>
          <w:p w:rsidR="00715DEA" w:rsidRPr="00715DEA" w:rsidRDefault="00715DEA">
            <w:pPr>
              <w:rPr>
                <w:sz w:val="16"/>
                <w:szCs w:val="16"/>
              </w:rPr>
            </w:pPr>
            <w:r w:rsidRPr="00715DEA">
              <w:rPr>
                <w:sz w:val="16"/>
                <w:szCs w:val="16"/>
              </w:rPr>
              <w:t>Voor de organisatie ontwikkeling is structureel een bedrag nodig van € 45.000. Dit wordt opgevangen in de budgetten voor de Samenlevingsagenda. Is dit wel juist?</w:t>
            </w:r>
          </w:p>
        </w:tc>
        <w:tc>
          <w:tcPr>
            <w:tcW w:w="698" w:type="dxa"/>
          </w:tcPr>
          <w:p w:rsidR="00715DEA" w:rsidRPr="00715DEA" w:rsidRDefault="002938C9">
            <w:pPr>
              <w:rPr>
                <w:sz w:val="16"/>
                <w:szCs w:val="16"/>
              </w:rPr>
            </w:pPr>
            <w:r>
              <w:rPr>
                <w:sz w:val="16"/>
                <w:szCs w:val="16"/>
              </w:rPr>
              <w:t>CU</w:t>
            </w:r>
          </w:p>
        </w:tc>
        <w:tc>
          <w:tcPr>
            <w:tcW w:w="5680" w:type="dxa"/>
          </w:tcPr>
          <w:p w:rsidR="00715DEA" w:rsidRPr="00715DEA" w:rsidRDefault="006C0F26" w:rsidP="00442C12">
            <w:pPr>
              <w:rPr>
                <w:sz w:val="16"/>
                <w:szCs w:val="16"/>
              </w:rPr>
            </w:pPr>
            <w:r w:rsidRPr="006C0F26">
              <w:rPr>
                <w:sz w:val="16"/>
                <w:szCs w:val="16"/>
              </w:rPr>
              <w:t xml:space="preserve">De budgetten </w:t>
            </w:r>
            <w:r>
              <w:rPr>
                <w:sz w:val="16"/>
                <w:szCs w:val="16"/>
              </w:rPr>
              <w:t xml:space="preserve">voor de Samenlevingsagenda 2014-2018 </w:t>
            </w:r>
            <w:r w:rsidRPr="006C0F26">
              <w:rPr>
                <w:sz w:val="16"/>
                <w:szCs w:val="16"/>
              </w:rPr>
              <w:t xml:space="preserve">zijn in het meerjarenperspectief 2018-2021 nagenoeg geheel als structureel budget aangemerkt. Deels betreft dit kapitaallasten die ook daadwerkelijk structureel doorlopen na deze collegeperiode. Voor een deel zijn deze budgetten </w:t>
            </w:r>
            <w:r w:rsidR="00442C12">
              <w:rPr>
                <w:sz w:val="16"/>
                <w:szCs w:val="16"/>
              </w:rPr>
              <w:t xml:space="preserve">niet structureel van aard en kunnen deze anders worden ingezet. </w:t>
            </w:r>
            <w:r>
              <w:rPr>
                <w:sz w:val="16"/>
                <w:szCs w:val="16"/>
              </w:rPr>
              <w:t xml:space="preserve">In de begroting 2018 zal een deel van deze </w:t>
            </w:r>
            <w:r w:rsidR="00442C12">
              <w:rPr>
                <w:sz w:val="16"/>
                <w:szCs w:val="16"/>
              </w:rPr>
              <w:t>niet structurele budgetten worden ingezet als dekking voor de het structurele karakter van de organisatieontwikkeling.</w:t>
            </w:r>
          </w:p>
        </w:tc>
      </w:tr>
      <w:tr w:rsidR="004A3957" w:rsidTr="0042776B">
        <w:trPr>
          <w:cantSplit/>
        </w:trPr>
        <w:tc>
          <w:tcPr>
            <w:tcW w:w="392" w:type="dxa"/>
          </w:tcPr>
          <w:p w:rsidR="00715DEA" w:rsidRPr="00715DEA" w:rsidRDefault="00715DEA">
            <w:pPr>
              <w:rPr>
                <w:sz w:val="16"/>
                <w:szCs w:val="16"/>
              </w:rPr>
            </w:pPr>
            <w:r>
              <w:rPr>
                <w:sz w:val="16"/>
                <w:szCs w:val="16"/>
              </w:rPr>
              <w:t>4</w:t>
            </w:r>
          </w:p>
        </w:tc>
        <w:tc>
          <w:tcPr>
            <w:tcW w:w="2410" w:type="dxa"/>
          </w:tcPr>
          <w:p w:rsidR="00715DEA" w:rsidRPr="00715DEA" w:rsidRDefault="00715DEA">
            <w:pPr>
              <w:rPr>
                <w:sz w:val="16"/>
                <w:szCs w:val="16"/>
              </w:rPr>
            </w:pPr>
            <w:r w:rsidRPr="00715DEA">
              <w:rPr>
                <w:sz w:val="16"/>
                <w:szCs w:val="16"/>
              </w:rPr>
              <w:t>De splitsing van Eneco heeft mogelijk nadelige consequenties voor de dividend uitkering. Toen we een RIB waren er toch geen financieel nadelige gevolgen? Verwacht dividend is € 440.000, wat was het vorig jaar ook alweer?</w:t>
            </w:r>
          </w:p>
        </w:tc>
        <w:tc>
          <w:tcPr>
            <w:tcW w:w="698" w:type="dxa"/>
          </w:tcPr>
          <w:p w:rsidR="00715DEA" w:rsidRPr="00715DEA" w:rsidRDefault="002938C9">
            <w:pPr>
              <w:rPr>
                <w:sz w:val="16"/>
                <w:szCs w:val="16"/>
              </w:rPr>
            </w:pPr>
            <w:r>
              <w:rPr>
                <w:sz w:val="16"/>
                <w:szCs w:val="16"/>
              </w:rPr>
              <w:t>CU</w:t>
            </w:r>
          </w:p>
        </w:tc>
        <w:tc>
          <w:tcPr>
            <w:tcW w:w="5680" w:type="dxa"/>
          </w:tcPr>
          <w:p w:rsidR="00715DEA" w:rsidRDefault="00442C12" w:rsidP="00442C12">
            <w:pPr>
              <w:rPr>
                <w:sz w:val="16"/>
                <w:szCs w:val="16"/>
              </w:rPr>
            </w:pPr>
            <w:r>
              <w:rPr>
                <w:sz w:val="16"/>
                <w:szCs w:val="16"/>
              </w:rPr>
              <w:t>In de raadsmemo in 2016 bent u geïnformeerd over de splitsing van Eneco. De splitsing zelf had geen financiële effecten omdat de gemeente de aandelen van de nieuwe onderneming om niet heeft ontvangen.</w:t>
            </w:r>
          </w:p>
          <w:p w:rsidR="00442C12" w:rsidRDefault="00442C12" w:rsidP="00442C12">
            <w:pPr>
              <w:rPr>
                <w:sz w:val="16"/>
                <w:szCs w:val="16"/>
              </w:rPr>
            </w:pPr>
          </w:p>
          <w:p w:rsidR="00C41972" w:rsidRDefault="00442C12" w:rsidP="00C41972">
            <w:pPr>
              <w:rPr>
                <w:sz w:val="16"/>
                <w:szCs w:val="16"/>
              </w:rPr>
            </w:pPr>
            <w:r>
              <w:rPr>
                <w:sz w:val="16"/>
                <w:szCs w:val="16"/>
              </w:rPr>
              <w:t xml:space="preserve">In de Perspectiefnota is een risico opgenomen voor de dividendinkomsten van de twee afzonderlijke ondernemingen. Het risico bestaat dat de dividenduitkeringen van de twee afzonderlijke ondernemingen in de toekomst lager uitvalt dan begroot. </w:t>
            </w:r>
            <w:r w:rsidR="00C41972">
              <w:rPr>
                <w:sz w:val="16"/>
                <w:szCs w:val="16"/>
              </w:rPr>
              <w:t>De begrote dividendopbrengsten zijn gebaseerd op de in het verleden gerealiseerde dividenden uit de onderneming voor de splitsing.</w:t>
            </w:r>
          </w:p>
          <w:p w:rsidR="00C41972" w:rsidRDefault="00C41972" w:rsidP="00C41972">
            <w:pPr>
              <w:rPr>
                <w:sz w:val="16"/>
                <w:szCs w:val="16"/>
              </w:rPr>
            </w:pPr>
          </w:p>
          <w:p w:rsidR="00442C12" w:rsidRPr="00715DEA" w:rsidRDefault="00C41972" w:rsidP="00C41972">
            <w:pPr>
              <w:rPr>
                <w:sz w:val="16"/>
                <w:szCs w:val="16"/>
              </w:rPr>
            </w:pPr>
            <w:r>
              <w:rPr>
                <w:sz w:val="16"/>
                <w:szCs w:val="16"/>
              </w:rPr>
              <w:t xml:space="preserve">In de jaarrekening 2016 is een werkelijke dividendopbrengst van Eneco verantwoord </w:t>
            </w:r>
            <w:r w:rsidRPr="0042776B">
              <w:rPr>
                <w:sz w:val="16"/>
                <w:szCs w:val="16"/>
              </w:rPr>
              <w:t xml:space="preserve">van € </w:t>
            </w:r>
            <w:r w:rsidR="00B9387F" w:rsidRPr="0042776B">
              <w:rPr>
                <w:sz w:val="16"/>
                <w:szCs w:val="16"/>
              </w:rPr>
              <w:t>440.000</w:t>
            </w:r>
            <w:r w:rsidRPr="0042776B">
              <w:rPr>
                <w:sz w:val="16"/>
                <w:szCs w:val="16"/>
              </w:rPr>
              <w:t>.</w:t>
            </w:r>
            <w:r w:rsidR="00442C12">
              <w:rPr>
                <w:sz w:val="16"/>
                <w:szCs w:val="16"/>
              </w:rPr>
              <w:t xml:space="preserve"> </w:t>
            </w:r>
          </w:p>
        </w:tc>
      </w:tr>
      <w:tr w:rsidR="004A3957" w:rsidTr="0042776B">
        <w:trPr>
          <w:cantSplit/>
        </w:trPr>
        <w:tc>
          <w:tcPr>
            <w:tcW w:w="392" w:type="dxa"/>
          </w:tcPr>
          <w:p w:rsidR="00715DEA" w:rsidRDefault="00715DEA">
            <w:pPr>
              <w:rPr>
                <w:sz w:val="16"/>
                <w:szCs w:val="16"/>
              </w:rPr>
            </w:pPr>
            <w:r>
              <w:rPr>
                <w:sz w:val="16"/>
                <w:szCs w:val="16"/>
              </w:rPr>
              <w:t>5</w:t>
            </w:r>
          </w:p>
        </w:tc>
        <w:tc>
          <w:tcPr>
            <w:tcW w:w="2410" w:type="dxa"/>
          </w:tcPr>
          <w:p w:rsidR="00715DEA" w:rsidRPr="00715DEA" w:rsidRDefault="00715DEA">
            <w:pPr>
              <w:rPr>
                <w:sz w:val="16"/>
                <w:szCs w:val="16"/>
              </w:rPr>
            </w:pPr>
            <w:r w:rsidRPr="00715DEA">
              <w:rPr>
                <w:sz w:val="16"/>
                <w:szCs w:val="16"/>
              </w:rPr>
              <w:t>Betreffende de algemene uitkering: zijn de gegevens van de mei circulaire nu wel bekend? Afwijkingen ten opzichte van de verwachtingen?</w:t>
            </w:r>
          </w:p>
        </w:tc>
        <w:tc>
          <w:tcPr>
            <w:tcW w:w="698" w:type="dxa"/>
          </w:tcPr>
          <w:p w:rsidR="00715DEA" w:rsidRPr="00715DEA" w:rsidRDefault="002938C9">
            <w:pPr>
              <w:rPr>
                <w:sz w:val="16"/>
                <w:szCs w:val="16"/>
              </w:rPr>
            </w:pPr>
            <w:r>
              <w:rPr>
                <w:sz w:val="16"/>
                <w:szCs w:val="16"/>
              </w:rPr>
              <w:t>CU</w:t>
            </w:r>
          </w:p>
        </w:tc>
        <w:tc>
          <w:tcPr>
            <w:tcW w:w="5680" w:type="dxa"/>
          </w:tcPr>
          <w:p w:rsidR="00FD2767" w:rsidRPr="00F73A61" w:rsidRDefault="00FD2767" w:rsidP="00FD2767">
            <w:pPr>
              <w:rPr>
                <w:rFonts w:ascii="Arial" w:hAnsi="Arial" w:cs="Arial"/>
                <w:sz w:val="16"/>
                <w:szCs w:val="16"/>
              </w:rPr>
            </w:pPr>
            <w:r w:rsidRPr="00F73A61">
              <w:rPr>
                <w:rFonts w:ascii="Arial" w:hAnsi="Arial" w:cs="Arial"/>
                <w:sz w:val="16"/>
                <w:szCs w:val="16"/>
              </w:rPr>
              <w:t>De mei-circulaire 2017 is op 31 mei 2017 gepubliceerd. Een eerste analyse op hoofdlijnen laat zien dat wij in alle jaren 2018 tot en met 2021 een hogere algemene uitkering ontvangen van circa € 600.000. Deze hogere algemene uitkering hangt samen met de Trap op Trap af systematiek met het Rijk. In de mei-circulaire 2017 zijn onder meer de effecten van de hogere uitgaven door het Rijk aan pensioenpremies verwerkt.</w:t>
            </w:r>
          </w:p>
          <w:p w:rsidR="00FD2767" w:rsidRPr="00F73A61" w:rsidRDefault="00FD2767" w:rsidP="00FD2767">
            <w:pPr>
              <w:rPr>
                <w:rFonts w:ascii="Arial" w:hAnsi="Arial" w:cs="Arial"/>
                <w:sz w:val="16"/>
                <w:szCs w:val="16"/>
              </w:rPr>
            </w:pPr>
          </w:p>
          <w:p w:rsidR="00FD2767" w:rsidRDefault="00FD2767" w:rsidP="00FD2767">
            <w:pPr>
              <w:rPr>
                <w:rFonts w:ascii="Arial" w:hAnsi="Arial" w:cs="Arial"/>
                <w:sz w:val="16"/>
                <w:szCs w:val="16"/>
              </w:rPr>
            </w:pPr>
            <w:r w:rsidRPr="008E1835">
              <w:rPr>
                <w:rFonts w:ascii="Arial" w:hAnsi="Arial" w:cs="Arial"/>
                <w:sz w:val="16"/>
                <w:szCs w:val="16"/>
              </w:rPr>
              <w:t>Naast deze hogere inkomsten moeten in de begroting 2018 ook nog kosten(stijgingen) worden geraamd. In de Perspectiefnota 2018 zijn op pagina 5 de uitgangspunten voor de Begroting 2018 vermeld. Er kunnen zich m.n. nog loon- en prijsontwikkelingen voordoen lokaal, bij gemeenschappelijke regelingen en bij gesubsidieerde instellingen.</w:t>
            </w:r>
            <w:r>
              <w:rPr>
                <w:rFonts w:ascii="Arial" w:hAnsi="Arial" w:cs="Arial"/>
                <w:sz w:val="16"/>
                <w:szCs w:val="16"/>
              </w:rPr>
              <w:t xml:space="preserve"> Denk hierbij aan:</w:t>
            </w:r>
          </w:p>
          <w:p w:rsidR="00FD2767" w:rsidRPr="008E1835" w:rsidRDefault="00FD2767" w:rsidP="00FD2767">
            <w:pPr>
              <w:pStyle w:val="Lijstalinea"/>
              <w:numPr>
                <w:ilvl w:val="0"/>
                <w:numId w:val="3"/>
              </w:numPr>
              <w:rPr>
                <w:rFonts w:ascii="Arial" w:hAnsi="Arial" w:cs="Arial"/>
                <w:sz w:val="16"/>
                <w:szCs w:val="16"/>
              </w:rPr>
            </w:pPr>
            <w:r>
              <w:rPr>
                <w:rFonts w:ascii="Arial" w:hAnsi="Arial" w:cs="Arial"/>
                <w:sz w:val="16"/>
                <w:szCs w:val="16"/>
              </w:rPr>
              <w:t>Uitkomsten CAO onderhandelingen na 1 mei 2017 en mogelijke stijging pensioenpremies per 1 januari 2018. Dit kan nog tot loonontwikkelingen leiden bij de gemeente, maar ook bij gemeenschappelijke regelingen.</w:t>
            </w:r>
          </w:p>
          <w:p w:rsidR="00FD2767" w:rsidRDefault="00FD2767" w:rsidP="00FD2767">
            <w:pPr>
              <w:pStyle w:val="Lijstalinea"/>
              <w:numPr>
                <w:ilvl w:val="0"/>
                <w:numId w:val="3"/>
              </w:numPr>
              <w:rPr>
                <w:rFonts w:ascii="Arial" w:hAnsi="Arial" w:cs="Arial"/>
                <w:sz w:val="16"/>
                <w:szCs w:val="16"/>
              </w:rPr>
            </w:pPr>
            <w:r>
              <w:rPr>
                <w:rFonts w:ascii="Arial" w:hAnsi="Arial" w:cs="Arial"/>
                <w:sz w:val="16"/>
                <w:szCs w:val="16"/>
              </w:rPr>
              <w:t xml:space="preserve">Mogelijke loon- en prijsstijgingen bij gesubsidieerde instellingen. </w:t>
            </w:r>
            <w:r w:rsidRPr="008E1835">
              <w:rPr>
                <w:rFonts w:ascii="Arial" w:hAnsi="Arial" w:cs="Arial"/>
                <w:sz w:val="16"/>
                <w:szCs w:val="16"/>
              </w:rPr>
              <w:t>Bij het opstellen van de Begroting 2018 wordt op grond van de tot dan toe ingediende aanvragen en pro forma aanvragen een inschatting gemaakt van de benodigde extra middelen in verband met prijs en loonstijging bij de gesubsidieerde instellingen.</w:t>
            </w:r>
          </w:p>
          <w:p w:rsidR="00FD2767" w:rsidRPr="008E1835" w:rsidRDefault="00FD2767" w:rsidP="00FD2767">
            <w:pPr>
              <w:pStyle w:val="Lijstalinea"/>
              <w:numPr>
                <w:ilvl w:val="0"/>
                <w:numId w:val="3"/>
              </w:numPr>
              <w:rPr>
                <w:rFonts w:ascii="Arial" w:hAnsi="Arial" w:cs="Arial"/>
                <w:sz w:val="16"/>
                <w:szCs w:val="16"/>
              </w:rPr>
            </w:pPr>
            <w:r>
              <w:rPr>
                <w:rFonts w:ascii="Arial" w:hAnsi="Arial" w:cs="Arial"/>
                <w:sz w:val="16"/>
                <w:szCs w:val="16"/>
              </w:rPr>
              <w:t>Verder zijn i</w:t>
            </w:r>
            <w:r w:rsidRPr="008E1835">
              <w:rPr>
                <w:rFonts w:ascii="Arial" w:hAnsi="Arial" w:cs="Arial"/>
                <w:sz w:val="16"/>
                <w:szCs w:val="16"/>
              </w:rPr>
              <w:t>n de algemene uitkering extra gelden opgenomen voor de instelling van het fonds gezamenlijke gemeentelijke uitvoering (VNG) en een aantal mutaties doeluitkeringen. Hiertegenover moeten in de begroting 2018 (deels) ook nog kosten worden geraamd.</w:t>
            </w:r>
          </w:p>
          <w:p w:rsidR="00FD2767" w:rsidRPr="00F73A61" w:rsidRDefault="00FD2767" w:rsidP="00FD2767">
            <w:pPr>
              <w:rPr>
                <w:rFonts w:ascii="Arial" w:hAnsi="Arial" w:cs="Arial"/>
                <w:sz w:val="16"/>
                <w:szCs w:val="16"/>
              </w:rPr>
            </w:pPr>
          </w:p>
          <w:p w:rsidR="00D57A48" w:rsidRDefault="00FD2767" w:rsidP="00FD2767">
            <w:pPr>
              <w:rPr>
                <w:rFonts w:ascii="Arial" w:hAnsi="Arial" w:cs="Arial"/>
                <w:sz w:val="16"/>
                <w:szCs w:val="16"/>
              </w:rPr>
            </w:pPr>
            <w:r>
              <w:rPr>
                <w:rFonts w:ascii="Arial" w:hAnsi="Arial" w:cs="Arial"/>
                <w:sz w:val="16"/>
                <w:szCs w:val="16"/>
              </w:rPr>
              <w:t>D</w:t>
            </w:r>
            <w:r w:rsidRPr="008E1835">
              <w:rPr>
                <w:rFonts w:ascii="Arial" w:hAnsi="Arial" w:cs="Arial"/>
                <w:sz w:val="16"/>
                <w:szCs w:val="16"/>
              </w:rPr>
              <w:t xml:space="preserve">e mei-circulaire 2017 geeft rekening houdend met nog te verwerken kostenontwikkelingen </w:t>
            </w:r>
            <w:r>
              <w:rPr>
                <w:rFonts w:ascii="Arial" w:hAnsi="Arial" w:cs="Arial"/>
                <w:sz w:val="16"/>
                <w:szCs w:val="16"/>
              </w:rPr>
              <w:t>enige</w:t>
            </w:r>
            <w:r w:rsidRPr="008E1835">
              <w:rPr>
                <w:rFonts w:ascii="Arial" w:hAnsi="Arial" w:cs="Arial"/>
                <w:sz w:val="16"/>
                <w:szCs w:val="16"/>
              </w:rPr>
              <w:t xml:space="preserve"> financiële ruimte.</w:t>
            </w:r>
            <w:r>
              <w:rPr>
                <w:rFonts w:ascii="Arial" w:hAnsi="Arial" w:cs="Arial"/>
                <w:sz w:val="16"/>
                <w:szCs w:val="16"/>
              </w:rPr>
              <w:t xml:space="preserve"> </w:t>
            </w:r>
            <w:r w:rsidRPr="008E1835">
              <w:rPr>
                <w:rFonts w:ascii="Arial" w:hAnsi="Arial" w:cs="Arial"/>
                <w:sz w:val="16"/>
                <w:szCs w:val="16"/>
              </w:rPr>
              <w:t xml:space="preserve">Richting de begroting 2018 </w:t>
            </w:r>
            <w:r>
              <w:rPr>
                <w:rFonts w:ascii="Arial" w:hAnsi="Arial" w:cs="Arial"/>
                <w:sz w:val="16"/>
                <w:szCs w:val="16"/>
              </w:rPr>
              <w:t>schatten wij op</w:t>
            </w:r>
            <w:r w:rsidRPr="008E1835">
              <w:rPr>
                <w:rFonts w:ascii="Arial" w:hAnsi="Arial" w:cs="Arial"/>
                <w:sz w:val="16"/>
                <w:szCs w:val="16"/>
              </w:rPr>
              <w:t xml:space="preserve"> grond van de dan actuele informatie </w:t>
            </w:r>
            <w:r>
              <w:rPr>
                <w:rFonts w:ascii="Arial" w:hAnsi="Arial" w:cs="Arial"/>
                <w:sz w:val="16"/>
                <w:szCs w:val="16"/>
              </w:rPr>
              <w:t xml:space="preserve">de ontwikkelingen </w:t>
            </w:r>
            <w:r w:rsidRPr="008E1835">
              <w:rPr>
                <w:rFonts w:ascii="Arial" w:hAnsi="Arial" w:cs="Arial"/>
                <w:sz w:val="16"/>
                <w:szCs w:val="16"/>
              </w:rPr>
              <w:t xml:space="preserve">nauwkeuriger </w:t>
            </w:r>
            <w:r>
              <w:rPr>
                <w:rFonts w:ascii="Arial" w:hAnsi="Arial" w:cs="Arial"/>
                <w:sz w:val="16"/>
                <w:szCs w:val="16"/>
              </w:rPr>
              <w:t xml:space="preserve">in </w:t>
            </w:r>
            <w:r w:rsidRPr="008E1835">
              <w:rPr>
                <w:rFonts w:ascii="Arial" w:hAnsi="Arial" w:cs="Arial"/>
                <w:sz w:val="16"/>
                <w:szCs w:val="16"/>
              </w:rPr>
              <w:t>en bepalen wij w</w:t>
            </w:r>
            <w:r>
              <w:rPr>
                <w:rFonts w:ascii="Arial" w:hAnsi="Arial" w:cs="Arial"/>
                <w:sz w:val="16"/>
                <w:szCs w:val="16"/>
              </w:rPr>
              <w:t>elke bedragen d</w:t>
            </w:r>
            <w:r w:rsidRPr="008E1835">
              <w:rPr>
                <w:rFonts w:ascii="Arial" w:hAnsi="Arial" w:cs="Arial"/>
                <w:sz w:val="16"/>
                <w:szCs w:val="16"/>
              </w:rPr>
              <w:t xml:space="preserve">efinitief in de begroting </w:t>
            </w:r>
            <w:r>
              <w:rPr>
                <w:rFonts w:ascii="Arial" w:hAnsi="Arial" w:cs="Arial"/>
                <w:sz w:val="16"/>
                <w:szCs w:val="16"/>
              </w:rPr>
              <w:t>worden verwerkt</w:t>
            </w:r>
            <w:r w:rsidRPr="008E1835">
              <w:rPr>
                <w:rFonts w:ascii="Arial" w:hAnsi="Arial" w:cs="Arial"/>
                <w:sz w:val="16"/>
                <w:szCs w:val="16"/>
              </w:rPr>
              <w:t>.</w:t>
            </w:r>
          </w:p>
          <w:p w:rsidR="00FD2767" w:rsidRDefault="00FD2767" w:rsidP="00FD2767">
            <w:pPr>
              <w:rPr>
                <w:rFonts w:ascii="Arial" w:hAnsi="Arial" w:cs="Arial"/>
                <w:sz w:val="16"/>
                <w:szCs w:val="16"/>
              </w:rPr>
            </w:pPr>
          </w:p>
          <w:p w:rsidR="00FD2767" w:rsidRPr="00715DEA" w:rsidRDefault="00FD2767" w:rsidP="00FD2767">
            <w:pPr>
              <w:rPr>
                <w:sz w:val="16"/>
                <w:szCs w:val="16"/>
              </w:rPr>
            </w:pPr>
            <w:r>
              <w:rPr>
                <w:rFonts w:ascii="Arial" w:hAnsi="Arial" w:cs="Arial"/>
                <w:sz w:val="16"/>
                <w:szCs w:val="16"/>
              </w:rPr>
              <w:t>In de bijlage hebben wij de analyse op hoofdlijnen opgenomen.</w:t>
            </w:r>
          </w:p>
        </w:tc>
      </w:tr>
    </w:tbl>
    <w:p w:rsidR="00FD2767" w:rsidRDefault="00FD2767" w:rsidP="004C6E24">
      <w:pPr>
        <w:rPr>
          <w:b/>
        </w:rPr>
      </w:pPr>
    </w:p>
    <w:p w:rsidR="00FD2767" w:rsidRDefault="00FD2767">
      <w:pPr>
        <w:rPr>
          <w:b/>
        </w:rPr>
      </w:pPr>
      <w:r>
        <w:rPr>
          <w:b/>
        </w:rPr>
        <w:br w:type="page"/>
      </w:r>
    </w:p>
    <w:p w:rsidR="004C6E24" w:rsidRPr="00715DEA" w:rsidRDefault="004C6E24" w:rsidP="004C6E24">
      <w:pPr>
        <w:rPr>
          <w:b/>
        </w:rPr>
      </w:pPr>
      <w:r>
        <w:rPr>
          <w:b/>
        </w:rPr>
        <w:t>Technische vragen DO gemeentehuis</w:t>
      </w:r>
    </w:p>
    <w:tbl>
      <w:tblPr>
        <w:tblStyle w:val="Tabelraster"/>
        <w:tblW w:w="0" w:type="auto"/>
        <w:tblLook w:val="04A0" w:firstRow="1" w:lastRow="0" w:firstColumn="1" w:lastColumn="0" w:noHBand="0" w:noVBand="1"/>
      </w:tblPr>
      <w:tblGrid>
        <w:gridCol w:w="421"/>
        <w:gridCol w:w="2339"/>
        <w:gridCol w:w="703"/>
        <w:gridCol w:w="5599"/>
      </w:tblGrid>
      <w:tr w:rsidR="004C6E24" w:rsidTr="000922E4">
        <w:trPr>
          <w:cantSplit/>
          <w:tblHeader/>
        </w:trPr>
        <w:tc>
          <w:tcPr>
            <w:tcW w:w="421" w:type="dxa"/>
          </w:tcPr>
          <w:p w:rsidR="004C6E24" w:rsidRPr="00715DEA" w:rsidRDefault="004C6E24" w:rsidP="0043212A">
            <w:pPr>
              <w:rPr>
                <w:b/>
                <w:sz w:val="16"/>
                <w:szCs w:val="16"/>
              </w:rPr>
            </w:pPr>
            <w:r w:rsidRPr="00715DEA">
              <w:rPr>
                <w:b/>
                <w:sz w:val="16"/>
                <w:szCs w:val="16"/>
              </w:rPr>
              <w:t>Nr.</w:t>
            </w:r>
          </w:p>
        </w:tc>
        <w:tc>
          <w:tcPr>
            <w:tcW w:w="2381" w:type="dxa"/>
          </w:tcPr>
          <w:p w:rsidR="004C6E24" w:rsidRPr="00715DEA" w:rsidRDefault="004C6E24" w:rsidP="0043212A">
            <w:pPr>
              <w:rPr>
                <w:b/>
                <w:sz w:val="16"/>
                <w:szCs w:val="16"/>
              </w:rPr>
            </w:pPr>
            <w:r w:rsidRPr="00715DEA">
              <w:rPr>
                <w:b/>
                <w:sz w:val="16"/>
                <w:szCs w:val="16"/>
              </w:rPr>
              <w:t>Vraag</w:t>
            </w:r>
          </w:p>
        </w:tc>
        <w:tc>
          <w:tcPr>
            <w:tcW w:w="709" w:type="dxa"/>
          </w:tcPr>
          <w:p w:rsidR="004C6E24" w:rsidRPr="00715DEA" w:rsidRDefault="004C6E24" w:rsidP="0043212A">
            <w:pPr>
              <w:rPr>
                <w:b/>
                <w:sz w:val="16"/>
                <w:szCs w:val="16"/>
              </w:rPr>
            </w:pPr>
            <w:r w:rsidRPr="00715DEA">
              <w:rPr>
                <w:b/>
                <w:sz w:val="16"/>
                <w:szCs w:val="16"/>
              </w:rPr>
              <w:t>Partij</w:t>
            </w:r>
          </w:p>
        </w:tc>
        <w:tc>
          <w:tcPr>
            <w:tcW w:w="5669" w:type="dxa"/>
          </w:tcPr>
          <w:p w:rsidR="004C6E24" w:rsidRPr="00715DEA" w:rsidRDefault="004C6E24" w:rsidP="0043212A">
            <w:pPr>
              <w:rPr>
                <w:b/>
                <w:sz w:val="16"/>
                <w:szCs w:val="16"/>
              </w:rPr>
            </w:pPr>
            <w:r w:rsidRPr="00715DEA">
              <w:rPr>
                <w:b/>
                <w:sz w:val="16"/>
                <w:szCs w:val="16"/>
              </w:rPr>
              <w:t>Antwoord</w:t>
            </w:r>
          </w:p>
        </w:tc>
      </w:tr>
      <w:tr w:rsidR="004C6E24" w:rsidTr="000922E4">
        <w:trPr>
          <w:cantSplit/>
        </w:trPr>
        <w:tc>
          <w:tcPr>
            <w:tcW w:w="421" w:type="dxa"/>
          </w:tcPr>
          <w:p w:rsidR="004C6E24" w:rsidRPr="00715DEA" w:rsidRDefault="004C6E24" w:rsidP="0043212A">
            <w:pPr>
              <w:rPr>
                <w:sz w:val="16"/>
                <w:szCs w:val="16"/>
              </w:rPr>
            </w:pPr>
            <w:r>
              <w:rPr>
                <w:sz w:val="16"/>
                <w:szCs w:val="16"/>
              </w:rPr>
              <w:t>1</w:t>
            </w:r>
          </w:p>
        </w:tc>
        <w:tc>
          <w:tcPr>
            <w:tcW w:w="2381" w:type="dxa"/>
          </w:tcPr>
          <w:p w:rsidR="006C7C20" w:rsidRPr="006C7C20" w:rsidRDefault="006C7C20" w:rsidP="006C7C20">
            <w:pPr>
              <w:rPr>
                <w:sz w:val="16"/>
                <w:szCs w:val="16"/>
              </w:rPr>
            </w:pPr>
            <w:r w:rsidRPr="006C7C20">
              <w:rPr>
                <w:sz w:val="16"/>
                <w:szCs w:val="16"/>
              </w:rPr>
              <w:t>Binnen het presidium is o.a. gesproken over de onderliggende businesscase behorend bij de de renovatie van het gemeentehuis. Graag zouden wij vernemen welk investeringsbedrag gekoppeld zou kunnen bij een huuropbrengst / business case van €</w:t>
            </w:r>
            <w:r w:rsidR="009B3130">
              <w:rPr>
                <w:sz w:val="16"/>
                <w:szCs w:val="16"/>
              </w:rPr>
              <w:t> </w:t>
            </w:r>
            <w:r w:rsidRPr="006C7C20">
              <w:rPr>
                <w:sz w:val="16"/>
                <w:szCs w:val="16"/>
              </w:rPr>
              <w:t>50.000,- per jaar.</w:t>
            </w:r>
          </w:p>
          <w:p w:rsidR="006C7C20" w:rsidRPr="006C7C20" w:rsidRDefault="006C7C20" w:rsidP="006C7C20">
            <w:pPr>
              <w:rPr>
                <w:sz w:val="16"/>
                <w:szCs w:val="16"/>
              </w:rPr>
            </w:pPr>
            <w:r w:rsidRPr="006C7C20">
              <w:rPr>
                <w:sz w:val="16"/>
                <w:szCs w:val="16"/>
              </w:rPr>
              <w:t>Met andere woorden: bij een huuropbrengst van € 50.000,- welk deel van de investering zou hiermee kunnen worden terugverdiend.</w:t>
            </w:r>
          </w:p>
          <w:p w:rsidR="006C7C20" w:rsidRPr="006C7C20" w:rsidRDefault="006C7C20" w:rsidP="006C7C20">
            <w:pPr>
              <w:rPr>
                <w:sz w:val="16"/>
                <w:szCs w:val="16"/>
              </w:rPr>
            </w:pPr>
          </w:p>
          <w:p w:rsidR="004C6E24" w:rsidRPr="00715DEA" w:rsidRDefault="006C7C20" w:rsidP="006C7C20">
            <w:pPr>
              <w:rPr>
                <w:sz w:val="16"/>
                <w:szCs w:val="16"/>
              </w:rPr>
            </w:pPr>
            <w:r w:rsidRPr="006C7C20">
              <w:rPr>
                <w:sz w:val="16"/>
                <w:szCs w:val="16"/>
              </w:rPr>
              <w:t>Andere vraag heeft betrekking op de energielasten. Gemeentehuis zal grondig worden verduurzaamd: van dubbel glas, naar WTW ventilatie, led-verlichting e.d. Wat betekent dit voor de energielasten en is aan te geven hoe dit zich verhoud tot de huidige lasten en gevraagde investering.</w:t>
            </w:r>
          </w:p>
        </w:tc>
        <w:tc>
          <w:tcPr>
            <w:tcW w:w="709" w:type="dxa"/>
          </w:tcPr>
          <w:p w:rsidR="004C6E24" w:rsidRPr="00715DEA" w:rsidRDefault="004C6E24" w:rsidP="0043212A">
            <w:pPr>
              <w:rPr>
                <w:sz w:val="16"/>
                <w:szCs w:val="16"/>
              </w:rPr>
            </w:pPr>
            <w:r>
              <w:rPr>
                <w:sz w:val="16"/>
                <w:szCs w:val="16"/>
              </w:rPr>
              <w:t>SGP</w:t>
            </w:r>
          </w:p>
        </w:tc>
        <w:tc>
          <w:tcPr>
            <w:tcW w:w="5669" w:type="dxa"/>
          </w:tcPr>
          <w:p w:rsidR="00563BA8" w:rsidRDefault="004C6E24" w:rsidP="00563BA8">
            <w:pPr>
              <w:rPr>
                <w:sz w:val="16"/>
                <w:szCs w:val="16"/>
              </w:rPr>
            </w:pPr>
            <w:r>
              <w:rPr>
                <w:sz w:val="16"/>
                <w:szCs w:val="16"/>
              </w:rPr>
              <w:t xml:space="preserve"> </w:t>
            </w:r>
            <w:r w:rsidR="00563BA8">
              <w:rPr>
                <w:sz w:val="16"/>
                <w:szCs w:val="16"/>
              </w:rPr>
              <w:t>In het raadsvoorstel is uitgegaan van een voordelig exploitatiesaldo van € 25.000 voor het werkcafe. Voor de andere vergaderruimten is uit voorzichtigheid nog geen opbrengst geraamd. Om inzicht te geven in welk deel van de investering terugverdiend wordt met de opbrengsten uit het werkcafe en huuropbrengst van de vergaderruimte geven wij in onderstaande tabel inzicht in de netto contante waarde van een voordelig exploitatiesaldo:</w:t>
            </w:r>
          </w:p>
          <w:tbl>
            <w:tblPr>
              <w:tblStyle w:val="Tabelraster"/>
              <w:tblW w:w="0" w:type="auto"/>
              <w:tblLook w:val="04A0" w:firstRow="1" w:lastRow="0" w:firstColumn="1" w:lastColumn="0" w:noHBand="0" w:noVBand="1"/>
            </w:tblPr>
            <w:tblGrid>
              <w:gridCol w:w="990"/>
              <w:gridCol w:w="970"/>
              <w:gridCol w:w="972"/>
              <w:gridCol w:w="971"/>
              <w:gridCol w:w="973"/>
            </w:tblGrid>
            <w:tr w:rsidR="00563BA8" w:rsidTr="00563BA8">
              <w:tc>
                <w:tcPr>
                  <w:tcW w:w="990" w:type="dxa"/>
                </w:tcPr>
                <w:p w:rsidR="00563BA8" w:rsidRPr="00563BA8" w:rsidRDefault="00563BA8" w:rsidP="00563BA8">
                  <w:pPr>
                    <w:rPr>
                      <w:sz w:val="14"/>
                      <w:szCs w:val="14"/>
                    </w:rPr>
                  </w:pPr>
                  <w:r w:rsidRPr="00563BA8">
                    <w:rPr>
                      <w:sz w:val="14"/>
                      <w:szCs w:val="14"/>
                    </w:rPr>
                    <w:t>Voorbeeld</w:t>
                  </w:r>
                </w:p>
              </w:tc>
              <w:tc>
                <w:tcPr>
                  <w:tcW w:w="970" w:type="dxa"/>
                </w:tcPr>
                <w:p w:rsidR="00563BA8" w:rsidRPr="00563BA8" w:rsidRDefault="00563BA8" w:rsidP="00563BA8">
                  <w:pPr>
                    <w:rPr>
                      <w:sz w:val="14"/>
                      <w:szCs w:val="14"/>
                    </w:rPr>
                  </w:pPr>
                  <w:r w:rsidRPr="00563BA8">
                    <w:rPr>
                      <w:sz w:val="14"/>
                      <w:szCs w:val="14"/>
                    </w:rPr>
                    <w:t>1</w:t>
                  </w:r>
                </w:p>
              </w:tc>
              <w:tc>
                <w:tcPr>
                  <w:tcW w:w="972" w:type="dxa"/>
                </w:tcPr>
                <w:p w:rsidR="00563BA8" w:rsidRPr="00563BA8" w:rsidRDefault="00563BA8" w:rsidP="00563BA8">
                  <w:pPr>
                    <w:rPr>
                      <w:sz w:val="14"/>
                      <w:szCs w:val="14"/>
                    </w:rPr>
                  </w:pPr>
                  <w:r w:rsidRPr="00563BA8">
                    <w:rPr>
                      <w:sz w:val="14"/>
                      <w:szCs w:val="14"/>
                    </w:rPr>
                    <w:t>2</w:t>
                  </w:r>
                </w:p>
              </w:tc>
              <w:tc>
                <w:tcPr>
                  <w:tcW w:w="971" w:type="dxa"/>
                </w:tcPr>
                <w:p w:rsidR="00563BA8" w:rsidRPr="00563BA8" w:rsidRDefault="00563BA8" w:rsidP="00563BA8">
                  <w:pPr>
                    <w:rPr>
                      <w:sz w:val="14"/>
                      <w:szCs w:val="14"/>
                    </w:rPr>
                  </w:pPr>
                  <w:r w:rsidRPr="00563BA8">
                    <w:rPr>
                      <w:sz w:val="14"/>
                      <w:szCs w:val="14"/>
                    </w:rPr>
                    <w:t>3</w:t>
                  </w:r>
                </w:p>
              </w:tc>
              <w:tc>
                <w:tcPr>
                  <w:tcW w:w="973" w:type="dxa"/>
                </w:tcPr>
                <w:p w:rsidR="00563BA8" w:rsidRPr="00563BA8" w:rsidRDefault="00563BA8" w:rsidP="00563BA8">
                  <w:pPr>
                    <w:rPr>
                      <w:sz w:val="14"/>
                      <w:szCs w:val="14"/>
                    </w:rPr>
                  </w:pPr>
                  <w:r w:rsidRPr="00563BA8">
                    <w:rPr>
                      <w:sz w:val="14"/>
                      <w:szCs w:val="14"/>
                    </w:rPr>
                    <w:t>4</w:t>
                  </w:r>
                </w:p>
              </w:tc>
            </w:tr>
            <w:tr w:rsidR="00563BA8" w:rsidTr="00563BA8">
              <w:tc>
                <w:tcPr>
                  <w:tcW w:w="990" w:type="dxa"/>
                </w:tcPr>
                <w:p w:rsidR="00563BA8" w:rsidRPr="00563BA8" w:rsidRDefault="00563BA8" w:rsidP="00563BA8">
                  <w:pPr>
                    <w:rPr>
                      <w:sz w:val="14"/>
                      <w:szCs w:val="14"/>
                    </w:rPr>
                  </w:pPr>
                  <w:r w:rsidRPr="00563BA8">
                    <w:rPr>
                      <w:sz w:val="14"/>
                      <w:szCs w:val="14"/>
                    </w:rPr>
                    <w:t>Exploitatie-saldo</w:t>
                  </w:r>
                </w:p>
              </w:tc>
              <w:tc>
                <w:tcPr>
                  <w:tcW w:w="970" w:type="dxa"/>
                </w:tcPr>
                <w:p w:rsidR="00563BA8" w:rsidRPr="00563BA8" w:rsidRDefault="00563BA8" w:rsidP="00563BA8">
                  <w:pPr>
                    <w:rPr>
                      <w:sz w:val="14"/>
                      <w:szCs w:val="14"/>
                    </w:rPr>
                  </w:pPr>
                  <w:r w:rsidRPr="00563BA8">
                    <w:rPr>
                      <w:sz w:val="14"/>
                      <w:szCs w:val="14"/>
                    </w:rPr>
                    <w:t>€ 25.000</w:t>
                  </w:r>
                </w:p>
              </w:tc>
              <w:tc>
                <w:tcPr>
                  <w:tcW w:w="972" w:type="dxa"/>
                </w:tcPr>
                <w:p w:rsidR="00563BA8" w:rsidRPr="00563BA8" w:rsidRDefault="00563BA8" w:rsidP="00563BA8">
                  <w:pPr>
                    <w:rPr>
                      <w:sz w:val="14"/>
                      <w:szCs w:val="14"/>
                    </w:rPr>
                  </w:pPr>
                  <w:r w:rsidRPr="00563BA8">
                    <w:rPr>
                      <w:sz w:val="14"/>
                      <w:szCs w:val="14"/>
                    </w:rPr>
                    <w:t>€ 25.000</w:t>
                  </w:r>
                </w:p>
              </w:tc>
              <w:tc>
                <w:tcPr>
                  <w:tcW w:w="971" w:type="dxa"/>
                </w:tcPr>
                <w:p w:rsidR="00563BA8" w:rsidRPr="00563BA8" w:rsidRDefault="00563BA8" w:rsidP="00563BA8">
                  <w:pPr>
                    <w:rPr>
                      <w:sz w:val="14"/>
                      <w:szCs w:val="14"/>
                    </w:rPr>
                  </w:pPr>
                  <w:r w:rsidRPr="00563BA8">
                    <w:rPr>
                      <w:sz w:val="14"/>
                      <w:szCs w:val="14"/>
                    </w:rPr>
                    <w:t>€ 50.000</w:t>
                  </w:r>
                </w:p>
              </w:tc>
              <w:tc>
                <w:tcPr>
                  <w:tcW w:w="973" w:type="dxa"/>
                </w:tcPr>
                <w:p w:rsidR="00563BA8" w:rsidRPr="00563BA8" w:rsidRDefault="00563BA8" w:rsidP="00563BA8">
                  <w:pPr>
                    <w:rPr>
                      <w:sz w:val="14"/>
                      <w:szCs w:val="14"/>
                    </w:rPr>
                  </w:pPr>
                  <w:r w:rsidRPr="00563BA8">
                    <w:rPr>
                      <w:sz w:val="14"/>
                      <w:szCs w:val="14"/>
                    </w:rPr>
                    <w:t>€ 50.000</w:t>
                  </w:r>
                </w:p>
              </w:tc>
            </w:tr>
            <w:tr w:rsidR="00563BA8" w:rsidTr="00563BA8">
              <w:tc>
                <w:tcPr>
                  <w:tcW w:w="990" w:type="dxa"/>
                </w:tcPr>
                <w:p w:rsidR="00563BA8" w:rsidRPr="00563BA8" w:rsidRDefault="00563BA8" w:rsidP="00563BA8">
                  <w:pPr>
                    <w:rPr>
                      <w:sz w:val="14"/>
                      <w:szCs w:val="14"/>
                    </w:rPr>
                  </w:pPr>
                  <w:r w:rsidRPr="00563BA8">
                    <w:rPr>
                      <w:sz w:val="14"/>
                      <w:szCs w:val="14"/>
                    </w:rPr>
                    <w:t>Indexering</w:t>
                  </w:r>
                </w:p>
              </w:tc>
              <w:tc>
                <w:tcPr>
                  <w:tcW w:w="970" w:type="dxa"/>
                </w:tcPr>
                <w:p w:rsidR="00563BA8" w:rsidRPr="00563BA8" w:rsidRDefault="00563BA8" w:rsidP="00563BA8">
                  <w:pPr>
                    <w:rPr>
                      <w:sz w:val="14"/>
                      <w:szCs w:val="14"/>
                    </w:rPr>
                  </w:pPr>
                  <w:r w:rsidRPr="00563BA8">
                    <w:rPr>
                      <w:sz w:val="14"/>
                      <w:szCs w:val="14"/>
                    </w:rPr>
                    <w:t>0%</w:t>
                  </w:r>
                </w:p>
              </w:tc>
              <w:tc>
                <w:tcPr>
                  <w:tcW w:w="972" w:type="dxa"/>
                </w:tcPr>
                <w:p w:rsidR="00563BA8" w:rsidRPr="00563BA8" w:rsidRDefault="00563BA8" w:rsidP="00563BA8">
                  <w:pPr>
                    <w:rPr>
                      <w:sz w:val="14"/>
                      <w:szCs w:val="14"/>
                    </w:rPr>
                  </w:pPr>
                  <w:r>
                    <w:rPr>
                      <w:sz w:val="14"/>
                      <w:szCs w:val="14"/>
                    </w:rPr>
                    <w:t>1</w:t>
                  </w:r>
                  <w:r w:rsidRPr="00563BA8">
                    <w:rPr>
                      <w:sz w:val="14"/>
                      <w:szCs w:val="14"/>
                    </w:rPr>
                    <w:t>%</w:t>
                  </w:r>
                </w:p>
              </w:tc>
              <w:tc>
                <w:tcPr>
                  <w:tcW w:w="971" w:type="dxa"/>
                </w:tcPr>
                <w:p w:rsidR="00563BA8" w:rsidRPr="00563BA8" w:rsidRDefault="00563BA8" w:rsidP="00563BA8">
                  <w:pPr>
                    <w:rPr>
                      <w:sz w:val="14"/>
                      <w:szCs w:val="14"/>
                    </w:rPr>
                  </w:pPr>
                  <w:r>
                    <w:rPr>
                      <w:sz w:val="14"/>
                      <w:szCs w:val="14"/>
                    </w:rPr>
                    <w:t>0</w:t>
                  </w:r>
                  <w:r w:rsidRPr="00563BA8">
                    <w:rPr>
                      <w:sz w:val="14"/>
                      <w:szCs w:val="14"/>
                    </w:rPr>
                    <w:t>%</w:t>
                  </w:r>
                </w:p>
              </w:tc>
              <w:tc>
                <w:tcPr>
                  <w:tcW w:w="973" w:type="dxa"/>
                </w:tcPr>
                <w:p w:rsidR="00563BA8" w:rsidRPr="00563BA8" w:rsidRDefault="00563BA8" w:rsidP="00563BA8">
                  <w:pPr>
                    <w:rPr>
                      <w:sz w:val="14"/>
                      <w:szCs w:val="14"/>
                    </w:rPr>
                  </w:pPr>
                  <w:r w:rsidRPr="00563BA8">
                    <w:rPr>
                      <w:sz w:val="14"/>
                      <w:szCs w:val="14"/>
                    </w:rPr>
                    <w:t>1%</w:t>
                  </w:r>
                </w:p>
              </w:tc>
            </w:tr>
            <w:tr w:rsidR="00563BA8" w:rsidTr="00563BA8">
              <w:tc>
                <w:tcPr>
                  <w:tcW w:w="990" w:type="dxa"/>
                </w:tcPr>
                <w:p w:rsidR="00563BA8" w:rsidRPr="00563BA8" w:rsidRDefault="00563BA8" w:rsidP="00563BA8">
                  <w:pPr>
                    <w:rPr>
                      <w:sz w:val="14"/>
                      <w:szCs w:val="14"/>
                    </w:rPr>
                  </w:pPr>
                  <w:r w:rsidRPr="00563BA8">
                    <w:rPr>
                      <w:sz w:val="14"/>
                      <w:szCs w:val="14"/>
                    </w:rPr>
                    <w:t>Rekenrente</w:t>
                  </w:r>
                </w:p>
              </w:tc>
              <w:tc>
                <w:tcPr>
                  <w:tcW w:w="970" w:type="dxa"/>
                </w:tcPr>
                <w:p w:rsidR="00563BA8" w:rsidRPr="00563BA8" w:rsidRDefault="00563BA8" w:rsidP="00563BA8">
                  <w:pPr>
                    <w:rPr>
                      <w:sz w:val="14"/>
                      <w:szCs w:val="14"/>
                    </w:rPr>
                  </w:pPr>
                  <w:r w:rsidRPr="00563BA8">
                    <w:rPr>
                      <w:sz w:val="14"/>
                      <w:szCs w:val="14"/>
                    </w:rPr>
                    <w:t>2%</w:t>
                  </w:r>
                </w:p>
              </w:tc>
              <w:tc>
                <w:tcPr>
                  <w:tcW w:w="972" w:type="dxa"/>
                </w:tcPr>
                <w:p w:rsidR="00563BA8" w:rsidRPr="00563BA8" w:rsidRDefault="00563BA8" w:rsidP="00563BA8">
                  <w:pPr>
                    <w:rPr>
                      <w:sz w:val="14"/>
                      <w:szCs w:val="14"/>
                    </w:rPr>
                  </w:pPr>
                  <w:r w:rsidRPr="00563BA8">
                    <w:rPr>
                      <w:sz w:val="14"/>
                      <w:szCs w:val="14"/>
                    </w:rPr>
                    <w:t>2%</w:t>
                  </w:r>
                </w:p>
              </w:tc>
              <w:tc>
                <w:tcPr>
                  <w:tcW w:w="971" w:type="dxa"/>
                </w:tcPr>
                <w:p w:rsidR="00563BA8" w:rsidRPr="00563BA8" w:rsidRDefault="00563BA8" w:rsidP="00563BA8">
                  <w:pPr>
                    <w:rPr>
                      <w:sz w:val="14"/>
                      <w:szCs w:val="14"/>
                    </w:rPr>
                  </w:pPr>
                  <w:r w:rsidRPr="00563BA8">
                    <w:rPr>
                      <w:sz w:val="14"/>
                      <w:szCs w:val="14"/>
                    </w:rPr>
                    <w:t>2%</w:t>
                  </w:r>
                </w:p>
              </w:tc>
              <w:tc>
                <w:tcPr>
                  <w:tcW w:w="973" w:type="dxa"/>
                </w:tcPr>
                <w:p w:rsidR="00563BA8" w:rsidRPr="00563BA8" w:rsidRDefault="00563BA8" w:rsidP="00563BA8">
                  <w:pPr>
                    <w:rPr>
                      <w:sz w:val="14"/>
                      <w:szCs w:val="14"/>
                    </w:rPr>
                  </w:pPr>
                  <w:r w:rsidRPr="00563BA8">
                    <w:rPr>
                      <w:sz w:val="14"/>
                      <w:szCs w:val="14"/>
                    </w:rPr>
                    <w:t>2%</w:t>
                  </w:r>
                </w:p>
              </w:tc>
            </w:tr>
            <w:tr w:rsidR="00563BA8" w:rsidTr="00563BA8">
              <w:tc>
                <w:tcPr>
                  <w:tcW w:w="990" w:type="dxa"/>
                </w:tcPr>
                <w:p w:rsidR="00563BA8" w:rsidRPr="00563BA8" w:rsidRDefault="00563BA8" w:rsidP="00563BA8">
                  <w:pPr>
                    <w:rPr>
                      <w:sz w:val="14"/>
                      <w:szCs w:val="14"/>
                    </w:rPr>
                  </w:pPr>
                  <w:r w:rsidRPr="00563BA8">
                    <w:rPr>
                      <w:sz w:val="14"/>
                      <w:szCs w:val="14"/>
                    </w:rPr>
                    <w:t>Gemiddelde afschrijvings-termijn investeringen</w:t>
                  </w:r>
                </w:p>
              </w:tc>
              <w:tc>
                <w:tcPr>
                  <w:tcW w:w="970" w:type="dxa"/>
                </w:tcPr>
                <w:p w:rsidR="00563BA8" w:rsidRPr="00563BA8" w:rsidRDefault="00563BA8" w:rsidP="00563BA8">
                  <w:pPr>
                    <w:rPr>
                      <w:sz w:val="14"/>
                      <w:szCs w:val="14"/>
                    </w:rPr>
                  </w:pPr>
                  <w:r w:rsidRPr="00563BA8">
                    <w:rPr>
                      <w:sz w:val="14"/>
                      <w:szCs w:val="14"/>
                    </w:rPr>
                    <w:t>34 jaar</w:t>
                  </w:r>
                </w:p>
              </w:tc>
              <w:tc>
                <w:tcPr>
                  <w:tcW w:w="972" w:type="dxa"/>
                </w:tcPr>
                <w:p w:rsidR="00563BA8" w:rsidRPr="00563BA8" w:rsidRDefault="00563BA8" w:rsidP="00563BA8">
                  <w:pPr>
                    <w:rPr>
                      <w:sz w:val="14"/>
                      <w:szCs w:val="14"/>
                    </w:rPr>
                  </w:pPr>
                  <w:r w:rsidRPr="00563BA8">
                    <w:rPr>
                      <w:sz w:val="14"/>
                      <w:szCs w:val="14"/>
                    </w:rPr>
                    <w:t>34 jaar</w:t>
                  </w:r>
                </w:p>
              </w:tc>
              <w:tc>
                <w:tcPr>
                  <w:tcW w:w="971" w:type="dxa"/>
                </w:tcPr>
                <w:p w:rsidR="00563BA8" w:rsidRPr="00563BA8" w:rsidRDefault="00563BA8" w:rsidP="00563BA8">
                  <w:pPr>
                    <w:rPr>
                      <w:sz w:val="14"/>
                      <w:szCs w:val="14"/>
                    </w:rPr>
                  </w:pPr>
                  <w:r w:rsidRPr="00563BA8">
                    <w:rPr>
                      <w:sz w:val="14"/>
                      <w:szCs w:val="14"/>
                    </w:rPr>
                    <w:t>34 jaar</w:t>
                  </w:r>
                </w:p>
              </w:tc>
              <w:tc>
                <w:tcPr>
                  <w:tcW w:w="973" w:type="dxa"/>
                </w:tcPr>
                <w:p w:rsidR="00563BA8" w:rsidRPr="00563BA8" w:rsidRDefault="00563BA8" w:rsidP="00563BA8">
                  <w:pPr>
                    <w:rPr>
                      <w:sz w:val="14"/>
                      <w:szCs w:val="14"/>
                    </w:rPr>
                  </w:pPr>
                  <w:r w:rsidRPr="00563BA8">
                    <w:rPr>
                      <w:sz w:val="14"/>
                      <w:szCs w:val="14"/>
                    </w:rPr>
                    <w:t>34 jaar</w:t>
                  </w:r>
                </w:p>
              </w:tc>
            </w:tr>
            <w:tr w:rsidR="00563BA8" w:rsidTr="00563BA8">
              <w:tc>
                <w:tcPr>
                  <w:tcW w:w="990" w:type="dxa"/>
                </w:tcPr>
                <w:p w:rsidR="00563BA8" w:rsidRPr="00563BA8" w:rsidRDefault="00563BA8" w:rsidP="00563BA8">
                  <w:pPr>
                    <w:rPr>
                      <w:sz w:val="14"/>
                      <w:szCs w:val="14"/>
                    </w:rPr>
                  </w:pPr>
                  <w:r w:rsidRPr="00563BA8">
                    <w:rPr>
                      <w:sz w:val="14"/>
                      <w:szCs w:val="14"/>
                    </w:rPr>
                    <w:t>Netto contante waarde</w:t>
                  </w:r>
                </w:p>
              </w:tc>
              <w:tc>
                <w:tcPr>
                  <w:tcW w:w="970" w:type="dxa"/>
                </w:tcPr>
                <w:p w:rsidR="00563BA8" w:rsidRPr="00563BA8" w:rsidRDefault="00563BA8" w:rsidP="00563BA8">
                  <w:pPr>
                    <w:rPr>
                      <w:sz w:val="14"/>
                      <w:szCs w:val="14"/>
                    </w:rPr>
                  </w:pPr>
                  <w:r w:rsidRPr="00563BA8">
                    <w:rPr>
                      <w:sz w:val="14"/>
                      <w:szCs w:val="14"/>
                    </w:rPr>
                    <w:t>€ 612.000</w:t>
                  </w:r>
                </w:p>
              </w:tc>
              <w:tc>
                <w:tcPr>
                  <w:tcW w:w="972" w:type="dxa"/>
                </w:tcPr>
                <w:p w:rsidR="00563BA8" w:rsidRPr="00563BA8" w:rsidRDefault="00563BA8" w:rsidP="00563BA8">
                  <w:pPr>
                    <w:rPr>
                      <w:sz w:val="14"/>
                      <w:szCs w:val="14"/>
                    </w:rPr>
                  </w:pPr>
                  <w:r>
                    <w:rPr>
                      <w:sz w:val="14"/>
                      <w:szCs w:val="14"/>
                    </w:rPr>
                    <w:t>€ 712.000</w:t>
                  </w:r>
                </w:p>
              </w:tc>
              <w:tc>
                <w:tcPr>
                  <w:tcW w:w="971" w:type="dxa"/>
                </w:tcPr>
                <w:p w:rsidR="00563BA8" w:rsidRPr="00563BA8" w:rsidRDefault="00563BA8" w:rsidP="00563BA8">
                  <w:pPr>
                    <w:rPr>
                      <w:sz w:val="14"/>
                      <w:szCs w:val="14"/>
                    </w:rPr>
                  </w:pPr>
                  <w:r w:rsidRPr="00563BA8">
                    <w:rPr>
                      <w:sz w:val="14"/>
                      <w:szCs w:val="14"/>
                    </w:rPr>
                    <w:t>€ 1.225.000</w:t>
                  </w:r>
                </w:p>
              </w:tc>
              <w:tc>
                <w:tcPr>
                  <w:tcW w:w="973" w:type="dxa"/>
                </w:tcPr>
                <w:p w:rsidR="00563BA8" w:rsidRPr="00563BA8" w:rsidRDefault="00563BA8" w:rsidP="00563BA8">
                  <w:pPr>
                    <w:rPr>
                      <w:sz w:val="14"/>
                      <w:szCs w:val="14"/>
                    </w:rPr>
                  </w:pPr>
                  <w:r>
                    <w:rPr>
                      <w:sz w:val="14"/>
                      <w:szCs w:val="14"/>
                    </w:rPr>
                    <w:t>€ 1.423.000</w:t>
                  </w:r>
                </w:p>
              </w:tc>
            </w:tr>
          </w:tbl>
          <w:p w:rsidR="004C6E24" w:rsidRDefault="00563BA8" w:rsidP="00563BA8">
            <w:pPr>
              <w:rPr>
                <w:sz w:val="16"/>
                <w:szCs w:val="16"/>
              </w:rPr>
            </w:pPr>
            <w:r>
              <w:rPr>
                <w:sz w:val="16"/>
                <w:szCs w:val="16"/>
              </w:rPr>
              <w:t xml:space="preserve"> </w:t>
            </w:r>
          </w:p>
          <w:p w:rsidR="00563BA8" w:rsidRDefault="00563BA8" w:rsidP="00563BA8">
            <w:pPr>
              <w:rPr>
                <w:sz w:val="16"/>
                <w:szCs w:val="16"/>
              </w:rPr>
            </w:pPr>
            <w:r>
              <w:rPr>
                <w:sz w:val="16"/>
                <w:szCs w:val="16"/>
              </w:rPr>
              <w:t>De geraamde energielasten zijn circa € 20.000 dan de huidige gemiddelde energielasten over de afgelopen 3 jaar.</w:t>
            </w:r>
            <w:r w:rsidR="003F5DA6">
              <w:rPr>
                <w:sz w:val="16"/>
                <w:szCs w:val="16"/>
              </w:rPr>
              <w:t xml:space="preserve"> De netto contante waarde van dit voordeel, uitgaand van de onderstaande parameters, bedraagt € 490.000.  </w:t>
            </w:r>
          </w:p>
          <w:tbl>
            <w:tblPr>
              <w:tblStyle w:val="Tabelraster"/>
              <w:tblW w:w="0" w:type="auto"/>
              <w:tblLook w:val="04A0" w:firstRow="1" w:lastRow="0" w:firstColumn="1" w:lastColumn="0" w:noHBand="0" w:noVBand="1"/>
            </w:tblPr>
            <w:tblGrid>
              <w:gridCol w:w="990"/>
              <w:gridCol w:w="990"/>
            </w:tblGrid>
            <w:tr w:rsidR="003F5DA6" w:rsidRPr="00563BA8" w:rsidTr="0043212A">
              <w:tc>
                <w:tcPr>
                  <w:tcW w:w="990" w:type="dxa"/>
                </w:tcPr>
                <w:p w:rsidR="003F5DA6" w:rsidRPr="00563BA8" w:rsidRDefault="003F5DA6" w:rsidP="0043212A">
                  <w:pPr>
                    <w:rPr>
                      <w:sz w:val="14"/>
                      <w:szCs w:val="14"/>
                    </w:rPr>
                  </w:pPr>
                  <w:r w:rsidRPr="00563BA8">
                    <w:rPr>
                      <w:sz w:val="14"/>
                      <w:szCs w:val="14"/>
                    </w:rPr>
                    <w:t>Voorbeeld</w:t>
                  </w:r>
                </w:p>
              </w:tc>
              <w:tc>
                <w:tcPr>
                  <w:tcW w:w="970" w:type="dxa"/>
                </w:tcPr>
                <w:p w:rsidR="003F5DA6" w:rsidRPr="00563BA8" w:rsidRDefault="003F5DA6" w:rsidP="0043212A">
                  <w:pPr>
                    <w:rPr>
                      <w:sz w:val="14"/>
                      <w:szCs w:val="14"/>
                    </w:rPr>
                  </w:pPr>
                  <w:r>
                    <w:rPr>
                      <w:sz w:val="14"/>
                      <w:szCs w:val="14"/>
                    </w:rPr>
                    <w:t>Lagere energielasten</w:t>
                  </w:r>
                </w:p>
              </w:tc>
            </w:tr>
            <w:tr w:rsidR="003F5DA6" w:rsidRPr="00563BA8" w:rsidTr="0043212A">
              <w:tc>
                <w:tcPr>
                  <w:tcW w:w="990" w:type="dxa"/>
                </w:tcPr>
                <w:p w:rsidR="003F5DA6" w:rsidRPr="00563BA8" w:rsidRDefault="003F5DA6" w:rsidP="0043212A">
                  <w:pPr>
                    <w:rPr>
                      <w:sz w:val="14"/>
                      <w:szCs w:val="14"/>
                    </w:rPr>
                  </w:pPr>
                  <w:r w:rsidRPr="00563BA8">
                    <w:rPr>
                      <w:sz w:val="14"/>
                      <w:szCs w:val="14"/>
                    </w:rPr>
                    <w:t>Exploitatie-saldo</w:t>
                  </w:r>
                </w:p>
              </w:tc>
              <w:tc>
                <w:tcPr>
                  <w:tcW w:w="970" w:type="dxa"/>
                </w:tcPr>
                <w:p w:rsidR="003F5DA6" w:rsidRPr="00563BA8" w:rsidRDefault="003F5DA6" w:rsidP="003F5DA6">
                  <w:pPr>
                    <w:rPr>
                      <w:sz w:val="14"/>
                      <w:szCs w:val="14"/>
                    </w:rPr>
                  </w:pPr>
                  <w:r w:rsidRPr="00563BA8">
                    <w:rPr>
                      <w:sz w:val="14"/>
                      <w:szCs w:val="14"/>
                    </w:rPr>
                    <w:t>€ 2</w:t>
                  </w:r>
                  <w:r>
                    <w:rPr>
                      <w:sz w:val="14"/>
                      <w:szCs w:val="14"/>
                    </w:rPr>
                    <w:t>0</w:t>
                  </w:r>
                  <w:r w:rsidRPr="00563BA8">
                    <w:rPr>
                      <w:sz w:val="14"/>
                      <w:szCs w:val="14"/>
                    </w:rPr>
                    <w:t>.000</w:t>
                  </w:r>
                </w:p>
              </w:tc>
            </w:tr>
            <w:tr w:rsidR="003F5DA6" w:rsidRPr="00563BA8" w:rsidTr="0043212A">
              <w:tc>
                <w:tcPr>
                  <w:tcW w:w="990" w:type="dxa"/>
                </w:tcPr>
                <w:p w:rsidR="003F5DA6" w:rsidRPr="00563BA8" w:rsidRDefault="003F5DA6" w:rsidP="0043212A">
                  <w:pPr>
                    <w:rPr>
                      <w:sz w:val="14"/>
                      <w:szCs w:val="14"/>
                    </w:rPr>
                  </w:pPr>
                  <w:r w:rsidRPr="00563BA8">
                    <w:rPr>
                      <w:sz w:val="14"/>
                      <w:szCs w:val="14"/>
                    </w:rPr>
                    <w:t>Indexering</w:t>
                  </w:r>
                </w:p>
              </w:tc>
              <w:tc>
                <w:tcPr>
                  <w:tcW w:w="970" w:type="dxa"/>
                </w:tcPr>
                <w:p w:rsidR="003F5DA6" w:rsidRPr="00563BA8" w:rsidRDefault="003F5DA6" w:rsidP="0043212A">
                  <w:pPr>
                    <w:rPr>
                      <w:sz w:val="14"/>
                      <w:szCs w:val="14"/>
                    </w:rPr>
                  </w:pPr>
                  <w:r w:rsidRPr="00563BA8">
                    <w:rPr>
                      <w:sz w:val="14"/>
                      <w:szCs w:val="14"/>
                    </w:rPr>
                    <w:t>0%</w:t>
                  </w:r>
                </w:p>
              </w:tc>
            </w:tr>
            <w:tr w:rsidR="003F5DA6" w:rsidRPr="00563BA8" w:rsidTr="0043212A">
              <w:tc>
                <w:tcPr>
                  <w:tcW w:w="990" w:type="dxa"/>
                </w:tcPr>
                <w:p w:rsidR="003F5DA6" w:rsidRPr="00563BA8" w:rsidRDefault="003F5DA6" w:rsidP="0043212A">
                  <w:pPr>
                    <w:rPr>
                      <w:sz w:val="14"/>
                      <w:szCs w:val="14"/>
                    </w:rPr>
                  </w:pPr>
                  <w:r w:rsidRPr="00563BA8">
                    <w:rPr>
                      <w:sz w:val="14"/>
                      <w:szCs w:val="14"/>
                    </w:rPr>
                    <w:t>Rekenrente</w:t>
                  </w:r>
                </w:p>
              </w:tc>
              <w:tc>
                <w:tcPr>
                  <w:tcW w:w="970" w:type="dxa"/>
                </w:tcPr>
                <w:p w:rsidR="003F5DA6" w:rsidRPr="00563BA8" w:rsidRDefault="003F5DA6" w:rsidP="0043212A">
                  <w:pPr>
                    <w:rPr>
                      <w:sz w:val="14"/>
                      <w:szCs w:val="14"/>
                    </w:rPr>
                  </w:pPr>
                  <w:r w:rsidRPr="00563BA8">
                    <w:rPr>
                      <w:sz w:val="14"/>
                      <w:szCs w:val="14"/>
                    </w:rPr>
                    <w:t>2%</w:t>
                  </w:r>
                </w:p>
              </w:tc>
            </w:tr>
            <w:tr w:rsidR="003F5DA6" w:rsidRPr="00563BA8" w:rsidTr="0043212A">
              <w:tc>
                <w:tcPr>
                  <w:tcW w:w="990" w:type="dxa"/>
                </w:tcPr>
                <w:p w:rsidR="003F5DA6" w:rsidRPr="00563BA8" w:rsidRDefault="003F5DA6" w:rsidP="0043212A">
                  <w:pPr>
                    <w:rPr>
                      <w:sz w:val="14"/>
                      <w:szCs w:val="14"/>
                    </w:rPr>
                  </w:pPr>
                  <w:r w:rsidRPr="00563BA8">
                    <w:rPr>
                      <w:sz w:val="14"/>
                      <w:szCs w:val="14"/>
                    </w:rPr>
                    <w:t>Gemiddelde afschrijvings-termijn investeringen</w:t>
                  </w:r>
                </w:p>
              </w:tc>
              <w:tc>
                <w:tcPr>
                  <w:tcW w:w="970" w:type="dxa"/>
                </w:tcPr>
                <w:p w:rsidR="003F5DA6" w:rsidRPr="00563BA8" w:rsidRDefault="003F5DA6" w:rsidP="0043212A">
                  <w:pPr>
                    <w:rPr>
                      <w:sz w:val="14"/>
                      <w:szCs w:val="14"/>
                    </w:rPr>
                  </w:pPr>
                  <w:r w:rsidRPr="00563BA8">
                    <w:rPr>
                      <w:sz w:val="14"/>
                      <w:szCs w:val="14"/>
                    </w:rPr>
                    <w:t>34 jaar</w:t>
                  </w:r>
                </w:p>
              </w:tc>
            </w:tr>
            <w:tr w:rsidR="003F5DA6" w:rsidRPr="00563BA8" w:rsidTr="0043212A">
              <w:tc>
                <w:tcPr>
                  <w:tcW w:w="990" w:type="dxa"/>
                </w:tcPr>
                <w:p w:rsidR="003F5DA6" w:rsidRPr="00563BA8" w:rsidRDefault="003F5DA6" w:rsidP="0043212A">
                  <w:pPr>
                    <w:rPr>
                      <w:sz w:val="14"/>
                      <w:szCs w:val="14"/>
                    </w:rPr>
                  </w:pPr>
                  <w:r w:rsidRPr="00563BA8">
                    <w:rPr>
                      <w:sz w:val="14"/>
                      <w:szCs w:val="14"/>
                    </w:rPr>
                    <w:t>Netto contante waarde</w:t>
                  </w:r>
                </w:p>
              </w:tc>
              <w:tc>
                <w:tcPr>
                  <w:tcW w:w="970" w:type="dxa"/>
                </w:tcPr>
                <w:p w:rsidR="003F5DA6" w:rsidRPr="00563BA8" w:rsidRDefault="003F5DA6" w:rsidP="003F5DA6">
                  <w:pPr>
                    <w:rPr>
                      <w:sz w:val="14"/>
                      <w:szCs w:val="14"/>
                    </w:rPr>
                  </w:pPr>
                  <w:r w:rsidRPr="00563BA8">
                    <w:rPr>
                      <w:sz w:val="14"/>
                      <w:szCs w:val="14"/>
                    </w:rPr>
                    <w:t xml:space="preserve">€ </w:t>
                  </w:r>
                  <w:r>
                    <w:rPr>
                      <w:sz w:val="14"/>
                      <w:szCs w:val="14"/>
                    </w:rPr>
                    <w:t>490</w:t>
                  </w:r>
                  <w:r w:rsidRPr="00563BA8">
                    <w:rPr>
                      <w:sz w:val="14"/>
                      <w:szCs w:val="14"/>
                    </w:rPr>
                    <w:t>.000</w:t>
                  </w:r>
                </w:p>
              </w:tc>
            </w:tr>
          </w:tbl>
          <w:p w:rsidR="003F5DA6" w:rsidRPr="00715DEA" w:rsidRDefault="003F5DA6" w:rsidP="00563BA8">
            <w:pPr>
              <w:rPr>
                <w:sz w:val="16"/>
                <w:szCs w:val="16"/>
              </w:rPr>
            </w:pPr>
          </w:p>
        </w:tc>
      </w:tr>
    </w:tbl>
    <w:p w:rsidR="00D57A48" w:rsidRDefault="00D57A48" w:rsidP="004C6E24">
      <w:pPr>
        <w:rPr>
          <w:b/>
        </w:rPr>
      </w:pPr>
    </w:p>
    <w:p w:rsidR="00D57A48" w:rsidRDefault="00D57A48">
      <w:pPr>
        <w:rPr>
          <w:b/>
        </w:rPr>
      </w:pPr>
      <w:r>
        <w:rPr>
          <w:b/>
        </w:rPr>
        <w:br w:type="page"/>
      </w:r>
    </w:p>
    <w:p w:rsidR="004C6E24" w:rsidRPr="00715DEA" w:rsidRDefault="004C6E24" w:rsidP="004C6E24">
      <w:pPr>
        <w:rPr>
          <w:b/>
        </w:rPr>
      </w:pPr>
      <w:r>
        <w:rPr>
          <w:b/>
        </w:rPr>
        <w:t>Technische vragen Garantstelling Rivas</w:t>
      </w:r>
    </w:p>
    <w:tbl>
      <w:tblPr>
        <w:tblStyle w:val="Tabelraster"/>
        <w:tblW w:w="0" w:type="auto"/>
        <w:tblLook w:val="04A0" w:firstRow="1" w:lastRow="0" w:firstColumn="1" w:lastColumn="0" w:noHBand="0" w:noVBand="1"/>
      </w:tblPr>
      <w:tblGrid>
        <w:gridCol w:w="421"/>
        <w:gridCol w:w="2361"/>
        <w:gridCol w:w="705"/>
        <w:gridCol w:w="5575"/>
      </w:tblGrid>
      <w:tr w:rsidR="004C6E24" w:rsidTr="000922E4">
        <w:trPr>
          <w:cantSplit/>
          <w:tblHeader/>
        </w:trPr>
        <w:tc>
          <w:tcPr>
            <w:tcW w:w="421" w:type="dxa"/>
          </w:tcPr>
          <w:p w:rsidR="004C6E24" w:rsidRPr="00715DEA" w:rsidRDefault="004C6E24" w:rsidP="0043212A">
            <w:pPr>
              <w:rPr>
                <w:b/>
                <w:sz w:val="16"/>
                <w:szCs w:val="16"/>
              </w:rPr>
            </w:pPr>
            <w:r w:rsidRPr="00715DEA">
              <w:rPr>
                <w:b/>
                <w:sz w:val="16"/>
                <w:szCs w:val="16"/>
              </w:rPr>
              <w:t>Nr.</w:t>
            </w:r>
          </w:p>
        </w:tc>
        <w:tc>
          <w:tcPr>
            <w:tcW w:w="2381" w:type="dxa"/>
          </w:tcPr>
          <w:p w:rsidR="004C6E24" w:rsidRPr="00715DEA" w:rsidRDefault="004C6E24" w:rsidP="0043212A">
            <w:pPr>
              <w:rPr>
                <w:b/>
                <w:sz w:val="16"/>
                <w:szCs w:val="16"/>
              </w:rPr>
            </w:pPr>
            <w:r w:rsidRPr="00715DEA">
              <w:rPr>
                <w:b/>
                <w:sz w:val="16"/>
                <w:szCs w:val="16"/>
              </w:rPr>
              <w:t>Vraag</w:t>
            </w:r>
          </w:p>
        </w:tc>
        <w:tc>
          <w:tcPr>
            <w:tcW w:w="709" w:type="dxa"/>
          </w:tcPr>
          <w:p w:rsidR="004C6E24" w:rsidRPr="00715DEA" w:rsidRDefault="004C6E24" w:rsidP="0043212A">
            <w:pPr>
              <w:rPr>
                <w:b/>
                <w:sz w:val="16"/>
                <w:szCs w:val="16"/>
              </w:rPr>
            </w:pPr>
            <w:r w:rsidRPr="00715DEA">
              <w:rPr>
                <w:b/>
                <w:sz w:val="16"/>
                <w:szCs w:val="16"/>
              </w:rPr>
              <w:t>Partij</w:t>
            </w:r>
          </w:p>
        </w:tc>
        <w:tc>
          <w:tcPr>
            <w:tcW w:w="5669" w:type="dxa"/>
          </w:tcPr>
          <w:p w:rsidR="004C6E24" w:rsidRPr="00715DEA" w:rsidRDefault="004C6E24" w:rsidP="0043212A">
            <w:pPr>
              <w:rPr>
                <w:b/>
                <w:sz w:val="16"/>
                <w:szCs w:val="16"/>
              </w:rPr>
            </w:pPr>
            <w:r w:rsidRPr="00715DEA">
              <w:rPr>
                <w:b/>
                <w:sz w:val="16"/>
                <w:szCs w:val="16"/>
              </w:rPr>
              <w:t>Antwoord</w:t>
            </w:r>
          </w:p>
        </w:tc>
      </w:tr>
      <w:tr w:rsidR="004C6E24" w:rsidTr="000922E4">
        <w:trPr>
          <w:cantSplit/>
        </w:trPr>
        <w:tc>
          <w:tcPr>
            <w:tcW w:w="421" w:type="dxa"/>
          </w:tcPr>
          <w:p w:rsidR="004C6E24" w:rsidRPr="00715DEA" w:rsidRDefault="004C6E24" w:rsidP="0043212A">
            <w:pPr>
              <w:rPr>
                <w:sz w:val="16"/>
                <w:szCs w:val="16"/>
              </w:rPr>
            </w:pPr>
            <w:r>
              <w:rPr>
                <w:sz w:val="16"/>
                <w:szCs w:val="16"/>
              </w:rPr>
              <w:t>1</w:t>
            </w:r>
          </w:p>
        </w:tc>
        <w:tc>
          <w:tcPr>
            <w:tcW w:w="2381" w:type="dxa"/>
          </w:tcPr>
          <w:p w:rsidR="004C6E24" w:rsidRDefault="004C6E24" w:rsidP="004C6E24">
            <w:pPr>
              <w:rPr>
                <w:sz w:val="16"/>
                <w:szCs w:val="16"/>
              </w:rPr>
            </w:pPr>
            <w:r w:rsidRPr="004C6E24">
              <w:rPr>
                <w:sz w:val="16"/>
                <w:szCs w:val="16"/>
              </w:rPr>
              <w:t>Bij de nieuwbouw/renovatie Alblashof door het RIVAS staat de gemeente garant voor 80% van de kosten (4 miljoen).</w:t>
            </w:r>
            <w:r>
              <w:rPr>
                <w:sz w:val="16"/>
                <w:szCs w:val="16"/>
              </w:rPr>
              <w:t xml:space="preserve"> </w:t>
            </w:r>
          </w:p>
          <w:p w:rsidR="004C6E24" w:rsidRPr="004C6E24" w:rsidRDefault="004C6E24" w:rsidP="004C6E24">
            <w:pPr>
              <w:rPr>
                <w:sz w:val="16"/>
                <w:szCs w:val="16"/>
              </w:rPr>
            </w:pPr>
            <w:r w:rsidRPr="004C6E24">
              <w:rPr>
                <w:sz w:val="16"/>
                <w:szCs w:val="16"/>
              </w:rPr>
              <w:t>Het maximum van 80% van het debtratio: betekent dit dat de gemeente bij garantstellingen voor nooit meer dan 80% van de maximale kosten mag garantstaan?</w:t>
            </w:r>
          </w:p>
          <w:p w:rsidR="004C6E24" w:rsidRPr="00715DEA" w:rsidRDefault="004C6E24" w:rsidP="004C6E24">
            <w:pPr>
              <w:rPr>
                <w:sz w:val="16"/>
                <w:szCs w:val="16"/>
              </w:rPr>
            </w:pPr>
            <w:r w:rsidRPr="004C6E24">
              <w:rPr>
                <w:sz w:val="16"/>
                <w:szCs w:val="16"/>
              </w:rPr>
              <w:t>En heeft elke lening die de gemeente verstrekt gevolgen voor het debtratio zodat we de kans lopen daar na verloop van tijd “overheen te schieten”? Of kan de gemeente zolang leningen /garantstellingen verstrekken zolang het weerstandsvermogen maar niet onder de grens van 1,4 komt?</w:t>
            </w:r>
          </w:p>
        </w:tc>
        <w:tc>
          <w:tcPr>
            <w:tcW w:w="709" w:type="dxa"/>
          </w:tcPr>
          <w:p w:rsidR="004C6E24" w:rsidRPr="00715DEA" w:rsidRDefault="004C6E24" w:rsidP="0043212A">
            <w:pPr>
              <w:rPr>
                <w:sz w:val="16"/>
                <w:szCs w:val="16"/>
              </w:rPr>
            </w:pPr>
            <w:r>
              <w:rPr>
                <w:sz w:val="16"/>
                <w:szCs w:val="16"/>
              </w:rPr>
              <w:t>CU</w:t>
            </w:r>
          </w:p>
        </w:tc>
        <w:tc>
          <w:tcPr>
            <w:tcW w:w="5669" w:type="dxa"/>
          </w:tcPr>
          <w:p w:rsidR="004C6E24" w:rsidRDefault="004C6E24" w:rsidP="0043212A">
            <w:pPr>
              <w:rPr>
                <w:sz w:val="16"/>
                <w:szCs w:val="16"/>
              </w:rPr>
            </w:pPr>
            <w:r>
              <w:rPr>
                <w:sz w:val="16"/>
                <w:szCs w:val="16"/>
              </w:rPr>
              <w:t xml:space="preserve">Algemene uitleg debt-ratio: </w:t>
            </w:r>
            <w:r w:rsidRPr="004C6E24">
              <w:rPr>
                <w:sz w:val="16"/>
                <w:szCs w:val="16"/>
              </w:rPr>
              <w:t>De debt-ratio wordt berekend door de som van de langlopende schulden, de kortlopende schulden en overlopende passiva op de rechterzijde van de balans te delen door het balanstotaal en dit verhoudingsgetal uit te drukken in procenten.</w:t>
            </w:r>
            <w:r w:rsidR="00C50C26">
              <w:rPr>
                <w:sz w:val="16"/>
                <w:szCs w:val="16"/>
              </w:rPr>
              <w:t xml:space="preserve"> </w:t>
            </w:r>
            <w:r w:rsidR="00C50C26" w:rsidRPr="00C50C26">
              <w:rPr>
                <w:sz w:val="16"/>
                <w:szCs w:val="16"/>
              </w:rPr>
              <w:t>Een debt ratio van 80% of hoger geeft aan dat een gemeente zijn bezit met zeer veel schulden heeft belast.</w:t>
            </w:r>
            <w:r w:rsidR="00C50C26">
              <w:rPr>
                <w:sz w:val="16"/>
                <w:szCs w:val="16"/>
              </w:rPr>
              <w:t xml:space="preserve"> De solvabiliteit is de tegenhanger van de debt-ratio. De solvabiliteit is het eigen</w:t>
            </w:r>
            <w:r w:rsidR="006C7C20">
              <w:rPr>
                <w:sz w:val="16"/>
                <w:szCs w:val="16"/>
              </w:rPr>
              <w:t xml:space="preserve"> </w:t>
            </w:r>
            <w:r w:rsidR="00C50C26">
              <w:rPr>
                <w:sz w:val="16"/>
                <w:szCs w:val="16"/>
              </w:rPr>
              <w:t>vermogen gedeeld door het balanstotaal. Een algemene norm is dat de solvabiliteit minimaal 20% dient te zijn. De bezittingen zijn dan met minimaal 20% eigen vermogen gefinancierd.</w:t>
            </w:r>
          </w:p>
          <w:p w:rsidR="00C50C26" w:rsidRDefault="00C50C26" w:rsidP="0043212A">
            <w:pPr>
              <w:rPr>
                <w:sz w:val="16"/>
                <w:szCs w:val="16"/>
              </w:rPr>
            </w:pPr>
          </w:p>
          <w:p w:rsidR="00A44167" w:rsidRDefault="00C50C26" w:rsidP="00C50C26">
            <w:pPr>
              <w:rPr>
                <w:sz w:val="16"/>
                <w:szCs w:val="16"/>
              </w:rPr>
            </w:pPr>
            <w:r>
              <w:rPr>
                <w:sz w:val="16"/>
                <w:szCs w:val="16"/>
              </w:rPr>
              <w:t xml:space="preserve">Garantstelling Rivas: de norm van 80% voor de debt-ratio heeft </w:t>
            </w:r>
            <w:r w:rsidRPr="00C50C26">
              <w:rPr>
                <w:sz w:val="16"/>
                <w:szCs w:val="16"/>
                <w:u w:val="single"/>
              </w:rPr>
              <w:t>geen</w:t>
            </w:r>
            <w:r>
              <w:rPr>
                <w:sz w:val="16"/>
                <w:szCs w:val="16"/>
              </w:rPr>
              <w:t xml:space="preserve"> relatie met het maximaal voor 80% garant staan voor de door Rivas aan te trekken lening. </w:t>
            </w:r>
            <w:r w:rsidR="009E105A">
              <w:rPr>
                <w:sz w:val="16"/>
                <w:szCs w:val="16"/>
              </w:rPr>
              <w:t>De aanwezigheid van staatssteun kan worden uitgesloten indien wordt voldaan aan een aantal voorwaarden die zijn gesteld o</w:t>
            </w:r>
            <w:r>
              <w:rPr>
                <w:sz w:val="16"/>
                <w:szCs w:val="16"/>
              </w:rPr>
              <w:t>p grond van Europese regelgeving</w:t>
            </w:r>
            <w:r w:rsidR="009E105A">
              <w:rPr>
                <w:sz w:val="16"/>
                <w:szCs w:val="16"/>
              </w:rPr>
              <w:t xml:space="preserve">. Een van deze voorwaarden is dat </w:t>
            </w:r>
            <w:r w:rsidR="009E105A" w:rsidRPr="009E105A">
              <w:rPr>
                <w:sz w:val="16"/>
                <w:szCs w:val="16"/>
              </w:rPr>
              <w:t>de garantie niet meer dan 80 % van de uitstaande lening</w:t>
            </w:r>
            <w:r>
              <w:rPr>
                <w:sz w:val="16"/>
                <w:szCs w:val="16"/>
              </w:rPr>
              <w:t xml:space="preserve"> </w:t>
            </w:r>
            <w:r w:rsidR="009E105A">
              <w:rPr>
                <w:sz w:val="16"/>
                <w:szCs w:val="16"/>
              </w:rPr>
              <w:t xml:space="preserve">dekt. Het is toeval dat </w:t>
            </w:r>
            <w:r w:rsidR="00A44167">
              <w:rPr>
                <w:sz w:val="16"/>
                <w:szCs w:val="16"/>
              </w:rPr>
              <w:t xml:space="preserve">de 80% uit </w:t>
            </w:r>
            <w:r w:rsidR="009E105A">
              <w:rPr>
                <w:sz w:val="16"/>
                <w:szCs w:val="16"/>
              </w:rPr>
              <w:t>deze voorwaarde</w:t>
            </w:r>
            <w:r w:rsidR="00A44167">
              <w:rPr>
                <w:sz w:val="16"/>
                <w:szCs w:val="16"/>
              </w:rPr>
              <w:t xml:space="preserve"> gelijk is aan de 80% als norm voor de debt-ratio.</w:t>
            </w:r>
          </w:p>
          <w:p w:rsidR="00A44167" w:rsidRDefault="00A44167" w:rsidP="00C50C26">
            <w:pPr>
              <w:rPr>
                <w:sz w:val="16"/>
                <w:szCs w:val="16"/>
              </w:rPr>
            </w:pPr>
          </w:p>
          <w:p w:rsidR="00A44167" w:rsidRDefault="00A44167" w:rsidP="00C50C26">
            <w:pPr>
              <w:rPr>
                <w:sz w:val="16"/>
                <w:szCs w:val="16"/>
              </w:rPr>
            </w:pPr>
            <w:r>
              <w:rPr>
                <w:sz w:val="16"/>
                <w:szCs w:val="16"/>
              </w:rPr>
              <w:t>Het verstrekken van een lening of een garantie door de gemeente zijn twee verschillende zaken die ook verschillend uitwerken op kaders als de debt-ratio en het weerstandsvermogen.</w:t>
            </w:r>
          </w:p>
          <w:p w:rsidR="00C50C26" w:rsidRDefault="00A44167" w:rsidP="00A44167">
            <w:pPr>
              <w:pStyle w:val="Lijstalinea"/>
              <w:numPr>
                <w:ilvl w:val="0"/>
                <w:numId w:val="2"/>
              </w:numPr>
              <w:rPr>
                <w:sz w:val="16"/>
                <w:szCs w:val="16"/>
              </w:rPr>
            </w:pPr>
            <w:r>
              <w:rPr>
                <w:sz w:val="16"/>
                <w:szCs w:val="16"/>
              </w:rPr>
              <w:t xml:space="preserve">Het </w:t>
            </w:r>
            <w:r w:rsidRPr="006C7C20">
              <w:rPr>
                <w:b/>
                <w:sz w:val="16"/>
                <w:szCs w:val="16"/>
              </w:rPr>
              <w:t>verstrekken van een lening aan derden</w:t>
            </w:r>
            <w:r>
              <w:rPr>
                <w:sz w:val="16"/>
                <w:szCs w:val="16"/>
              </w:rPr>
              <w:t xml:space="preserve"> door de gemeente heeft </w:t>
            </w:r>
            <w:r w:rsidRPr="00A44167">
              <w:rPr>
                <w:sz w:val="16"/>
                <w:szCs w:val="16"/>
                <w:u w:val="single"/>
              </w:rPr>
              <w:t>wel</w:t>
            </w:r>
            <w:r>
              <w:rPr>
                <w:sz w:val="16"/>
                <w:szCs w:val="16"/>
              </w:rPr>
              <w:t xml:space="preserve"> invloed op de balansposten van de gemeente. Een lening die de gemeente aan derden verstrekt wordt verantwoord als financieel actief. Dit kan invloed hebben op het balanstotaal. Indien de gemeente ook zelf een lening aantrekt (financiering met vreemd vermogen) dan nemen zowel het balanstotaal als het vreemd vermogen toe en blijft het eigen vermogen gelijk. Relatief gezien zal de debt-ratio dan stijgen omdat het vreemd vermogen relatief toeneemt ten opzichte van het eigen vermogen. Indien de gemeente de te verstrekken lening kan uitbetalen uit al aanwezige overtollige geldmiddelen (financiering met eigen vermogen) dan wijzigt het balanstotaal, het eigen vermogen en het vreemd vermogen niet. Dan zal ook de debt-ratio niet wijzigen.</w:t>
            </w:r>
          </w:p>
          <w:p w:rsidR="00C50C26" w:rsidRPr="006C7C20" w:rsidRDefault="00C50C26" w:rsidP="006C7C20">
            <w:pPr>
              <w:pStyle w:val="Lijstalinea"/>
              <w:numPr>
                <w:ilvl w:val="0"/>
                <w:numId w:val="2"/>
              </w:numPr>
              <w:rPr>
                <w:sz w:val="16"/>
                <w:szCs w:val="16"/>
              </w:rPr>
            </w:pPr>
            <w:r w:rsidRPr="006C7C20">
              <w:rPr>
                <w:sz w:val="16"/>
                <w:szCs w:val="16"/>
              </w:rPr>
              <w:t xml:space="preserve">Een </w:t>
            </w:r>
            <w:r w:rsidRPr="006C7C20">
              <w:rPr>
                <w:b/>
                <w:sz w:val="16"/>
                <w:szCs w:val="16"/>
              </w:rPr>
              <w:t xml:space="preserve">garantstelling door de gemeente op </w:t>
            </w:r>
            <w:r w:rsidR="006C7C20" w:rsidRPr="006C7C20">
              <w:rPr>
                <w:b/>
                <w:sz w:val="16"/>
                <w:szCs w:val="16"/>
              </w:rPr>
              <w:t>een door derden</w:t>
            </w:r>
            <w:r w:rsidRPr="006C7C20">
              <w:rPr>
                <w:b/>
                <w:sz w:val="16"/>
                <w:szCs w:val="16"/>
              </w:rPr>
              <w:t xml:space="preserve"> aan te trekken lening</w:t>
            </w:r>
            <w:r w:rsidRPr="006C7C20">
              <w:rPr>
                <w:sz w:val="16"/>
                <w:szCs w:val="16"/>
              </w:rPr>
              <w:t xml:space="preserve"> heeft </w:t>
            </w:r>
            <w:r w:rsidRPr="006C7C20">
              <w:rPr>
                <w:sz w:val="16"/>
                <w:szCs w:val="16"/>
                <w:u w:val="single"/>
              </w:rPr>
              <w:t>geen</w:t>
            </w:r>
            <w:r w:rsidRPr="006C7C20">
              <w:rPr>
                <w:sz w:val="16"/>
                <w:szCs w:val="16"/>
              </w:rPr>
              <w:t xml:space="preserve"> invloed op de balansposten bij de gemeente. De gemeente trekt zelf geen lening aan en leent ook geen geld uit. De gemeentelijke bezittingen, schulden en het eigen vermogen wijzigen niet. </w:t>
            </w:r>
            <w:r w:rsidR="006C7C20">
              <w:rPr>
                <w:sz w:val="16"/>
                <w:szCs w:val="16"/>
              </w:rPr>
              <w:t>Een</w:t>
            </w:r>
            <w:r w:rsidRPr="006C7C20">
              <w:rPr>
                <w:sz w:val="16"/>
                <w:szCs w:val="16"/>
              </w:rPr>
              <w:t xml:space="preserve"> garantstelling heeft daardoor geen invloed op de debt-ratio van de gemeente. Wel loopt de gemeente ri</w:t>
            </w:r>
            <w:r w:rsidR="006C7C20">
              <w:rPr>
                <w:sz w:val="16"/>
                <w:szCs w:val="16"/>
              </w:rPr>
              <w:t>sico’s dat de gemeente op de garantstelling wordt aangesproken. Het risicoprofiel neemt toe, zodat een hoger weerstandsvermogen benodigd is. Bij een gelijkblijvende weerstandscapaciteit zal de weerstandsratio (benodigd weerstandsvermogen gedeeld door de weerstandscapaciteit) dan dalen.</w:t>
            </w:r>
          </w:p>
        </w:tc>
      </w:tr>
    </w:tbl>
    <w:p w:rsidR="00F15E61" w:rsidRDefault="00F15E61"/>
    <w:p w:rsidR="00FD2767" w:rsidRDefault="00FD2767">
      <w:r>
        <w:br w:type="page"/>
      </w:r>
    </w:p>
    <w:p w:rsidR="00FD2767" w:rsidRDefault="00FD2767" w:rsidP="00FD2767">
      <w:pPr>
        <w:tabs>
          <w:tab w:val="left" w:pos="2268"/>
          <w:tab w:val="left" w:pos="5103"/>
          <w:tab w:val="left" w:pos="7371"/>
        </w:tabs>
        <w:rPr>
          <w:rFonts w:ascii="Arial" w:hAnsi="Arial"/>
          <w:b/>
        </w:rPr>
      </w:pPr>
      <w:r>
        <w:rPr>
          <w:rFonts w:ascii="Arial" w:hAnsi="Arial"/>
          <w:b/>
        </w:rPr>
        <w:t xml:space="preserve">Bijlage </w:t>
      </w:r>
      <w:r>
        <w:rPr>
          <w:rFonts w:ascii="Arial" w:hAnsi="Arial"/>
          <w:b/>
        </w:rPr>
        <w:t>Effecten mei-circulaire 2017 op hoofdlijnen</w:t>
      </w:r>
    </w:p>
    <w:p w:rsidR="00FD2767" w:rsidRDefault="00FD2767" w:rsidP="00FD2767">
      <w:pPr>
        <w:tabs>
          <w:tab w:val="left" w:pos="2268"/>
          <w:tab w:val="left" w:pos="5103"/>
          <w:tab w:val="left" w:pos="7371"/>
        </w:tabs>
        <w:rPr>
          <w:rFonts w:ascii="Arial" w:hAnsi="Arial"/>
        </w:rPr>
      </w:pPr>
      <w:r w:rsidRPr="00FD65E8">
        <w:rPr>
          <w:rFonts w:ascii="Arial" w:hAnsi="Arial"/>
        </w:rPr>
        <w:t>Wij hebben een analyse op hoofdlijnen gemaakt van de effecten van de mei-circulaire 2017 ten opzichte van de december-circulaire 2016. Kortom deze analyse geeft een beeld ov</w:t>
      </w:r>
      <w:r>
        <w:rPr>
          <w:rFonts w:ascii="Arial" w:hAnsi="Arial"/>
        </w:rPr>
        <w:t>er de richting maar nog geen definitieve cijfers.</w:t>
      </w:r>
    </w:p>
    <w:p w:rsidR="00FD2767" w:rsidRDefault="00FD2767" w:rsidP="00FD2767">
      <w:pPr>
        <w:tabs>
          <w:tab w:val="left" w:pos="2268"/>
          <w:tab w:val="left" w:pos="5103"/>
          <w:tab w:val="left" w:pos="7371"/>
        </w:tabs>
        <w:rPr>
          <w:rFonts w:ascii="Arial" w:hAnsi="Arial"/>
        </w:rPr>
      </w:pPr>
      <w:r w:rsidRPr="00FD65E8">
        <w:rPr>
          <w:rFonts w:ascii="Arial" w:hAnsi="Arial"/>
        </w:rPr>
        <w:t>Voor de begroting 2018 zullen wij nog een diepgaandere analyse maken waarbij alle onderliggende parameters nog eens kritisch worden bekeken en geactualiseerd voor zover nodig.</w:t>
      </w:r>
    </w:p>
    <w:p w:rsidR="00FD2767" w:rsidRDefault="00FD2767" w:rsidP="00FD2767">
      <w:pPr>
        <w:tabs>
          <w:tab w:val="left" w:pos="2268"/>
          <w:tab w:val="left" w:pos="5103"/>
          <w:tab w:val="left" w:pos="7371"/>
        </w:tabs>
        <w:rPr>
          <w:rFonts w:ascii="Arial" w:hAnsi="Arial"/>
        </w:rPr>
      </w:pPr>
    </w:p>
    <w:p w:rsidR="00FD2767" w:rsidRDefault="00FD2767" w:rsidP="00FD2767">
      <w:pPr>
        <w:tabs>
          <w:tab w:val="left" w:pos="2268"/>
          <w:tab w:val="left" w:pos="5103"/>
          <w:tab w:val="left" w:pos="7371"/>
        </w:tabs>
        <w:rPr>
          <w:rFonts w:ascii="Arial" w:hAnsi="Arial"/>
        </w:rPr>
      </w:pPr>
      <w:r w:rsidRPr="008A77A4">
        <w:rPr>
          <w:noProof/>
        </w:rPr>
        <w:drawing>
          <wp:inline distT="0" distB="0" distL="0" distR="0" wp14:anchorId="4A8A9816" wp14:editId="41F95118">
            <wp:extent cx="5579745" cy="2483725"/>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745" cy="2483725"/>
                    </a:xfrm>
                    <a:prstGeom prst="rect">
                      <a:avLst/>
                    </a:prstGeom>
                    <a:noFill/>
                    <a:ln>
                      <a:noFill/>
                    </a:ln>
                  </pic:spPr>
                </pic:pic>
              </a:graphicData>
            </a:graphic>
          </wp:inline>
        </w:drawing>
      </w:r>
    </w:p>
    <w:p w:rsidR="00FD2767" w:rsidRDefault="00FD2767" w:rsidP="00FD2767">
      <w:pPr>
        <w:tabs>
          <w:tab w:val="left" w:pos="2268"/>
          <w:tab w:val="left" w:pos="5103"/>
          <w:tab w:val="left" w:pos="7371"/>
        </w:tabs>
        <w:rPr>
          <w:rFonts w:ascii="Arial" w:hAnsi="Arial"/>
        </w:rPr>
      </w:pPr>
      <w:r>
        <w:rPr>
          <w:rFonts w:ascii="Arial" w:hAnsi="Arial"/>
        </w:rPr>
        <w:t>Toelichting:</w:t>
      </w:r>
    </w:p>
    <w:p w:rsidR="00FD2767" w:rsidRDefault="00FD2767" w:rsidP="00FD2767">
      <w:pPr>
        <w:pStyle w:val="Lijstalinea"/>
        <w:numPr>
          <w:ilvl w:val="0"/>
          <w:numId w:val="4"/>
        </w:numPr>
        <w:tabs>
          <w:tab w:val="left" w:pos="2268"/>
          <w:tab w:val="left" w:pos="5103"/>
          <w:tab w:val="left" w:pos="7371"/>
        </w:tabs>
        <w:spacing w:before="0"/>
        <w:rPr>
          <w:rFonts w:ascii="Arial" w:hAnsi="Arial"/>
        </w:rPr>
      </w:pPr>
      <w:r>
        <w:rPr>
          <w:rFonts w:ascii="Arial" w:hAnsi="Arial"/>
        </w:rPr>
        <w:t xml:space="preserve">De algemene uitkering exclusief integratie-uitkeringen WMO oud en 3 D's is volgens de mei-circulaire 2017 circa € 600.000 hoger in de jaren 2018 t/m 2021 dan o.g.v. de december-circulaire 2016. </w:t>
      </w:r>
      <w:r w:rsidRPr="00063CDE">
        <w:rPr>
          <w:rFonts w:ascii="Arial" w:hAnsi="Arial"/>
        </w:rPr>
        <w:t xml:space="preserve">Deze hogere algemene uitkering hangt samen met de Trap op Trap af systematiek met het Rijk. In de mei-circulaire 2017 zijn </w:t>
      </w:r>
      <w:r>
        <w:rPr>
          <w:rFonts w:ascii="Arial" w:hAnsi="Arial"/>
        </w:rPr>
        <w:t>vooral loon- en prijsstijgingen verwerkt. Dit betreft vooral</w:t>
      </w:r>
      <w:r w:rsidRPr="00063CDE">
        <w:rPr>
          <w:rFonts w:ascii="Arial" w:hAnsi="Arial"/>
        </w:rPr>
        <w:t xml:space="preserve"> de hogere uitgaven door het Rijk aan pensioenpremies.</w:t>
      </w:r>
      <w:r>
        <w:rPr>
          <w:rFonts w:ascii="Arial" w:hAnsi="Arial"/>
        </w:rPr>
        <w:br/>
        <w:t xml:space="preserve">Deze hogere inkomsten verwerken wij in de Begroting 2018. </w:t>
      </w:r>
    </w:p>
    <w:p w:rsidR="00FD2767" w:rsidRDefault="00FD2767" w:rsidP="00FD2767">
      <w:pPr>
        <w:pStyle w:val="Lijstalinea"/>
        <w:numPr>
          <w:ilvl w:val="0"/>
          <w:numId w:val="4"/>
        </w:numPr>
        <w:tabs>
          <w:tab w:val="left" w:pos="2268"/>
          <w:tab w:val="left" w:pos="5103"/>
          <w:tab w:val="left" w:pos="7371"/>
        </w:tabs>
        <w:spacing w:before="0"/>
        <w:rPr>
          <w:rFonts w:ascii="Arial" w:hAnsi="Arial"/>
        </w:rPr>
      </w:pPr>
      <w:r>
        <w:rPr>
          <w:rFonts w:ascii="Arial" w:hAnsi="Arial"/>
        </w:rPr>
        <w:t xml:space="preserve">Naast deze hogere inkomsten moeten in de begroting 2018 ook nog kosten(stijgingen) worden geraamd. In de Perspectiefnota 2018 zijn op pagina 5 de uitgangspunten voor de Begroting 2018 vermeld. Er kunnen zich m.n. nog loon- en prijsontwikkelingen voordoen lokaal, bij gemeenschappelijke regelingen en bij gesubsidieerde instellingen. Wij hebben op hoofdlijnen een indicatie van de nog te verwerken kostenstijgingen in bovenstaande opstelling opgenomen. In totaal komt deze indicatie uit op circa € 400.000. Dit betreft: </w:t>
      </w:r>
    </w:p>
    <w:p w:rsidR="00FD2767" w:rsidRDefault="00FD2767" w:rsidP="00FD2767">
      <w:pPr>
        <w:pStyle w:val="Lijstalinea"/>
        <w:numPr>
          <w:ilvl w:val="1"/>
          <w:numId w:val="4"/>
        </w:numPr>
        <w:tabs>
          <w:tab w:val="left" w:pos="2268"/>
          <w:tab w:val="left" w:pos="5103"/>
          <w:tab w:val="left" w:pos="7371"/>
        </w:tabs>
        <w:spacing w:before="0"/>
        <w:rPr>
          <w:rFonts w:ascii="Arial" w:hAnsi="Arial"/>
        </w:rPr>
      </w:pPr>
      <w:r>
        <w:rPr>
          <w:rFonts w:ascii="Arial" w:hAnsi="Arial"/>
        </w:rPr>
        <w:t>Personele budgetten: de huidige CAO loopt tot 1 mei 2017. Uit de CAO onderhandelingen kunnen nog loonstijgingen volgen. Werknemers zetten momenteel in op een stijging van 2,5%. De VNG stelt dat per 1 januari 2017 de lonen al met 0,4% zijn gestegen en dat er beperkt ruimte is. Daarnaast zijn de pensioenpremies vanaf 1-1-2018 nog niet bekend. De VNG gaat vooralsnog uit van een stijging van 1% van de loonsom. Wij hebben op grond van een stijging van de lonen met 1,75% vanaf 2017 en een stijging van het werkgevers deel van de pensioenpremies van 1% van de loonsom vanaf 2018 het structurele effect vanaf 2018 berekend op € 165.000.</w:t>
      </w:r>
    </w:p>
    <w:p w:rsidR="00FD2767" w:rsidRDefault="00FD2767" w:rsidP="00FD2767">
      <w:pPr>
        <w:pStyle w:val="Lijstalinea"/>
        <w:numPr>
          <w:ilvl w:val="1"/>
          <w:numId w:val="4"/>
        </w:numPr>
        <w:tabs>
          <w:tab w:val="left" w:pos="2268"/>
          <w:tab w:val="left" w:pos="5103"/>
          <w:tab w:val="left" w:pos="7371"/>
        </w:tabs>
        <w:spacing w:before="0"/>
        <w:rPr>
          <w:rFonts w:ascii="Arial" w:hAnsi="Arial"/>
        </w:rPr>
      </w:pPr>
      <w:r>
        <w:rPr>
          <w:rFonts w:ascii="Arial" w:hAnsi="Arial"/>
        </w:rPr>
        <w:t>Gemeenschappelijke regelingen: ook voor GR'en is deze ontwikkeling nog niet bekend. Wij gaan ervan uit dat de verhouding tussen personeelskosten en overige kosten lokaal en bij GR'en ongeveer hetzelfde is. Op grond van de verhouding 50% lokaal en 50% bij GR'en is bij GR'en een gelijk effect te verwachten.</w:t>
      </w:r>
    </w:p>
    <w:p w:rsidR="00FD2767" w:rsidRDefault="00FD2767" w:rsidP="00FD2767">
      <w:pPr>
        <w:pStyle w:val="Lijstalinea"/>
        <w:numPr>
          <w:ilvl w:val="1"/>
          <w:numId w:val="4"/>
        </w:numPr>
        <w:tabs>
          <w:tab w:val="left" w:pos="2268"/>
          <w:tab w:val="left" w:pos="5103"/>
          <w:tab w:val="left" w:pos="7371"/>
        </w:tabs>
        <w:spacing w:before="0"/>
        <w:rPr>
          <w:rFonts w:ascii="Arial" w:hAnsi="Arial"/>
        </w:rPr>
      </w:pPr>
      <w:r>
        <w:rPr>
          <w:rFonts w:ascii="Arial" w:hAnsi="Arial"/>
        </w:rPr>
        <w:t>Overige prijsstijgingen: er kunnen nog overige prijsstijgingen bekend worden die in de begroting 2018 verwerkt moeten worden, zowel lokaal, bij GR'en als bij gesubsidieerde instellingen. Het subsidieplafond beoordelen wij bijvoorbeeld op grond van de aanvragen voor 2018 die voor september 2017 moeten zijn ingediend.</w:t>
      </w:r>
    </w:p>
    <w:p w:rsidR="00FD2767" w:rsidRDefault="00FD2767" w:rsidP="00FD2767">
      <w:pPr>
        <w:pStyle w:val="Lijstalinea"/>
        <w:numPr>
          <w:ilvl w:val="1"/>
          <w:numId w:val="4"/>
        </w:numPr>
        <w:tabs>
          <w:tab w:val="left" w:pos="2268"/>
          <w:tab w:val="left" w:pos="5103"/>
          <w:tab w:val="left" w:pos="7371"/>
        </w:tabs>
        <w:spacing w:before="0"/>
        <w:rPr>
          <w:rFonts w:ascii="Arial" w:hAnsi="Arial"/>
        </w:rPr>
      </w:pPr>
      <w:r>
        <w:rPr>
          <w:rFonts w:ascii="Arial" w:hAnsi="Arial"/>
        </w:rPr>
        <w:t>Instelling fonds gemeentelijke uitvoering: in de mei-circulaire 2017 is hiervoor een taakmutatie opgevoerd. De VNG zal de kosten dekken door een bijdrage van gemeenten te innen.</w:t>
      </w:r>
    </w:p>
    <w:p w:rsidR="00FD2767" w:rsidRDefault="00FD2767" w:rsidP="00FD2767">
      <w:pPr>
        <w:pStyle w:val="Lijstalinea"/>
        <w:numPr>
          <w:ilvl w:val="1"/>
          <w:numId w:val="4"/>
        </w:numPr>
        <w:tabs>
          <w:tab w:val="left" w:pos="2268"/>
          <w:tab w:val="left" w:pos="5103"/>
          <w:tab w:val="left" w:pos="7371"/>
        </w:tabs>
        <w:spacing w:before="0"/>
        <w:rPr>
          <w:rFonts w:ascii="Arial" w:hAnsi="Arial"/>
        </w:rPr>
      </w:pPr>
      <w:r>
        <w:rPr>
          <w:rFonts w:ascii="Arial" w:hAnsi="Arial"/>
        </w:rPr>
        <w:t>Verder zijn een aantal mutaties in doeluitkeringen opgenomen. In de analyse houden wij deze middelen nog beschikbaar voor beleid.</w:t>
      </w:r>
    </w:p>
    <w:p w:rsidR="00FD2767" w:rsidRDefault="00FD2767" w:rsidP="00FD2767">
      <w:pPr>
        <w:pStyle w:val="Lijstalinea"/>
        <w:numPr>
          <w:ilvl w:val="0"/>
          <w:numId w:val="4"/>
        </w:numPr>
        <w:tabs>
          <w:tab w:val="left" w:pos="2268"/>
          <w:tab w:val="left" w:pos="5103"/>
          <w:tab w:val="left" w:pos="7371"/>
        </w:tabs>
        <w:spacing w:before="0"/>
        <w:rPr>
          <w:rFonts w:ascii="Arial" w:hAnsi="Arial"/>
        </w:rPr>
      </w:pPr>
      <w:r>
        <w:rPr>
          <w:rFonts w:ascii="Arial" w:hAnsi="Arial"/>
        </w:rPr>
        <w:t>Zowel de effecten van de mei-circulaire 2017 als de mogelijke kostenontwikkeling blijven op dit moment inschattingen. Op grond van deze inschattingen zal het overgrote deel van de hogere algemene uitkering gereserveerd moeten worden voor loon- en prijsontwikkelingen. Richting de begroting 2018 worden op grond van de dan actuele informatie nauwkeuriger schattingen gemaakt en bepalen wij wat we definitief in de begroting zullen verwerken. Kortom de mei-circulaire 2017 geeft rekening houdend met nog te verwerken kostenontwikkelingen zeer beperkt extra financiële ruimte.</w:t>
      </w:r>
    </w:p>
    <w:p w:rsidR="00FD2767" w:rsidRDefault="00FD2767" w:rsidP="00FD2767">
      <w:pPr>
        <w:pStyle w:val="Lijstalinea"/>
        <w:numPr>
          <w:ilvl w:val="0"/>
          <w:numId w:val="4"/>
        </w:numPr>
        <w:tabs>
          <w:tab w:val="left" w:pos="2268"/>
          <w:tab w:val="left" w:pos="5103"/>
          <w:tab w:val="left" w:pos="7371"/>
        </w:tabs>
        <w:spacing w:before="0"/>
        <w:rPr>
          <w:rFonts w:ascii="Arial" w:hAnsi="Arial"/>
        </w:rPr>
      </w:pPr>
      <w:r>
        <w:rPr>
          <w:rFonts w:ascii="Arial" w:hAnsi="Arial"/>
        </w:rPr>
        <w:t>De extra integratie-uitkering WMO oud bedraagt circa € 44.000. Vooralsnog dient dit beschikbaar te blijven voor mogelijk kostenontwikkeling bij SDD. Bij de begroting 2018 kan dan op grond van de meest actuele informatie vanuit SDD een keuze worden gemaakt over hoe deze middelen worden ingezet.</w:t>
      </w:r>
    </w:p>
    <w:p w:rsidR="00FD2767" w:rsidRPr="00F725EE" w:rsidRDefault="00FD2767" w:rsidP="00FD2767">
      <w:pPr>
        <w:pStyle w:val="Lijstalinea"/>
        <w:numPr>
          <w:ilvl w:val="0"/>
          <w:numId w:val="4"/>
        </w:numPr>
        <w:tabs>
          <w:tab w:val="left" w:pos="2268"/>
          <w:tab w:val="left" w:pos="5103"/>
          <w:tab w:val="left" w:pos="7371"/>
        </w:tabs>
        <w:spacing w:before="0"/>
        <w:rPr>
          <w:rFonts w:ascii="Arial" w:hAnsi="Arial"/>
        </w:rPr>
      </w:pPr>
      <w:r>
        <w:rPr>
          <w:rFonts w:ascii="Arial" w:hAnsi="Arial"/>
        </w:rPr>
        <w:t xml:space="preserve">Voor de integratie-uitkeringen 3 D's geldt nog steeds solidariteit. Wij dragen onze middelen grotendeels af aan SDD en DGJ. Uitgangspunt is nog steeds dat dit budget taakstellend is.  </w:t>
      </w:r>
    </w:p>
    <w:p w:rsidR="00FD2767" w:rsidRDefault="00FD2767"/>
    <w:sectPr w:rsidR="00FD2767" w:rsidSect="00F15E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4A" w:rsidRDefault="00FD794A" w:rsidP="000922E4">
      <w:pPr>
        <w:spacing w:before="0"/>
      </w:pPr>
      <w:r>
        <w:separator/>
      </w:r>
    </w:p>
  </w:endnote>
  <w:endnote w:type="continuationSeparator" w:id="0">
    <w:p w:rsidR="00FD794A" w:rsidRDefault="00FD794A" w:rsidP="000922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034375"/>
      <w:docPartObj>
        <w:docPartGallery w:val="Page Numbers (Bottom of Page)"/>
        <w:docPartUnique/>
      </w:docPartObj>
    </w:sdtPr>
    <w:sdtEndPr/>
    <w:sdtContent>
      <w:p w:rsidR="000922E4" w:rsidRDefault="000922E4">
        <w:pPr>
          <w:pStyle w:val="Voettekst"/>
          <w:jc w:val="center"/>
        </w:pPr>
        <w:r>
          <w:fldChar w:fldCharType="begin"/>
        </w:r>
        <w:r>
          <w:instrText>PAGE   \* MERGEFORMAT</w:instrText>
        </w:r>
        <w:r>
          <w:fldChar w:fldCharType="separate"/>
        </w:r>
        <w:r w:rsidR="003C07FB">
          <w:rPr>
            <w:noProof/>
          </w:rPr>
          <w:t>2</w:t>
        </w:r>
        <w:r>
          <w:fldChar w:fldCharType="end"/>
        </w:r>
      </w:p>
    </w:sdtContent>
  </w:sdt>
  <w:p w:rsidR="000922E4" w:rsidRDefault="000922E4" w:rsidP="000922E4">
    <w:pPr>
      <w:pStyle w:val="Voettekst"/>
      <w:tabs>
        <w:tab w:val="clear" w:pos="4536"/>
        <w:tab w:val="clear" w:pos="9072"/>
        <w:tab w:val="left" w:pos="24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4A" w:rsidRDefault="00FD794A" w:rsidP="000922E4">
      <w:pPr>
        <w:spacing w:before="0"/>
      </w:pPr>
      <w:r>
        <w:separator/>
      </w:r>
    </w:p>
  </w:footnote>
  <w:footnote w:type="continuationSeparator" w:id="0">
    <w:p w:rsidR="00FD794A" w:rsidRDefault="00FD794A" w:rsidP="000922E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465C0"/>
    <w:multiLevelType w:val="hybridMultilevel"/>
    <w:tmpl w:val="6D62A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021BD0"/>
    <w:multiLevelType w:val="hybridMultilevel"/>
    <w:tmpl w:val="3FDE9D5A"/>
    <w:lvl w:ilvl="0" w:tplc="04130001">
      <w:start w:val="1"/>
      <w:numFmt w:val="bullet"/>
      <w:lvlText w:val=""/>
      <w:lvlJc w:val="left"/>
      <w:pPr>
        <w:ind w:left="747" w:hanging="360"/>
      </w:pPr>
      <w:rPr>
        <w:rFonts w:ascii="Symbol" w:hAnsi="Symbol" w:hint="default"/>
      </w:rPr>
    </w:lvl>
    <w:lvl w:ilvl="1" w:tplc="04130003" w:tentative="1">
      <w:start w:val="1"/>
      <w:numFmt w:val="bullet"/>
      <w:lvlText w:val="o"/>
      <w:lvlJc w:val="left"/>
      <w:pPr>
        <w:ind w:left="1467" w:hanging="360"/>
      </w:pPr>
      <w:rPr>
        <w:rFonts w:ascii="Courier New" w:hAnsi="Courier New" w:cs="Courier New" w:hint="default"/>
      </w:rPr>
    </w:lvl>
    <w:lvl w:ilvl="2" w:tplc="04130005" w:tentative="1">
      <w:start w:val="1"/>
      <w:numFmt w:val="bullet"/>
      <w:lvlText w:val=""/>
      <w:lvlJc w:val="left"/>
      <w:pPr>
        <w:ind w:left="2187" w:hanging="360"/>
      </w:pPr>
      <w:rPr>
        <w:rFonts w:ascii="Wingdings" w:hAnsi="Wingdings" w:hint="default"/>
      </w:rPr>
    </w:lvl>
    <w:lvl w:ilvl="3" w:tplc="04130001" w:tentative="1">
      <w:start w:val="1"/>
      <w:numFmt w:val="bullet"/>
      <w:lvlText w:val=""/>
      <w:lvlJc w:val="left"/>
      <w:pPr>
        <w:ind w:left="2907" w:hanging="360"/>
      </w:pPr>
      <w:rPr>
        <w:rFonts w:ascii="Symbol" w:hAnsi="Symbol" w:hint="default"/>
      </w:rPr>
    </w:lvl>
    <w:lvl w:ilvl="4" w:tplc="04130003" w:tentative="1">
      <w:start w:val="1"/>
      <w:numFmt w:val="bullet"/>
      <w:lvlText w:val="o"/>
      <w:lvlJc w:val="left"/>
      <w:pPr>
        <w:ind w:left="3627" w:hanging="360"/>
      </w:pPr>
      <w:rPr>
        <w:rFonts w:ascii="Courier New" w:hAnsi="Courier New" w:cs="Courier New" w:hint="default"/>
      </w:rPr>
    </w:lvl>
    <w:lvl w:ilvl="5" w:tplc="04130005" w:tentative="1">
      <w:start w:val="1"/>
      <w:numFmt w:val="bullet"/>
      <w:lvlText w:val=""/>
      <w:lvlJc w:val="left"/>
      <w:pPr>
        <w:ind w:left="4347" w:hanging="360"/>
      </w:pPr>
      <w:rPr>
        <w:rFonts w:ascii="Wingdings" w:hAnsi="Wingdings" w:hint="default"/>
      </w:rPr>
    </w:lvl>
    <w:lvl w:ilvl="6" w:tplc="04130001" w:tentative="1">
      <w:start w:val="1"/>
      <w:numFmt w:val="bullet"/>
      <w:lvlText w:val=""/>
      <w:lvlJc w:val="left"/>
      <w:pPr>
        <w:ind w:left="5067" w:hanging="360"/>
      </w:pPr>
      <w:rPr>
        <w:rFonts w:ascii="Symbol" w:hAnsi="Symbol" w:hint="default"/>
      </w:rPr>
    </w:lvl>
    <w:lvl w:ilvl="7" w:tplc="04130003" w:tentative="1">
      <w:start w:val="1"/>
      <w:numFmt w:val="bullet"/>
      <w:lvlText w:val="o"/>
      <w:lvlJc w:val="left"/>
      <w:pPr>
        <w:ind w:left="5787" w:hanging="360"/>
      </w:pPr>
      <w:rPr>
        <w:rFonts w:ascii="Courier New" w:hAnsi="Courier New" w:cs="Courier New" w:hint="default"/>
      </w:rPr>
    </w:lvl>
    <w:lvl w:ilvl="8" w:tplc="04130005" w:tentative="1">
      <w:start w:val="1"/>
      <w:numFmt w:val="bullet"/>
      <w:lvlText w:val=""/>
      <w:lvlJc w:val="left"/>
      <w:pPr>
        <w:ind w:left="6507" w:hanging="360"/>
      </w:pPr>
      <w:rPr>
        <w:rFonts w:ascii="Wingdings" w:hAnsi="Wingdings" w:hint="default"/>
      </w:rPr>
    </w:lvl>
  </w:abstractNum>
  <w:abstractNum w:abstractNumId="2" w15:restartNumberingAfterBreak="0">
    <w:nsid w:val="5F5643EF"/>
    <w:multiLevelType w:val="hybridMultilevel"/>
    <w:tmpl w:val="EE4678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427876"/>
    <w:multiLevelType w:val="hybridMultilevel"/>
    <w:tmpl w:val="1A767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EA"/>
    <w:rsid w:val="000922E4"/>
    <w:rsid w:val="002938C9"/>
    <w:rsid w:val="003C07FB"/>
    <w:rsid w:val="003F5DA6"/>
    <w:rsid w:val="0042776B"/>
    <w:rsid w:val="00442C12"/>
    <w:rsid w:val="004747E4"/>
    <w:rsid w:val="004A3957"/>
    <w:rsid w:val="004C6E24"/>
    <w:rsid w:val="00563BA8"/>
    <w:rsid w:val="006C0F26"/>
    <w:rsid w:val="006C7C20"/>
    <w:rsid w:val="00705C38"/>
    <w:rsid w:val="00715DEA"/>
    <w:rsid w:val="008D482B"/>
    <w:rsid w:val="009B3130"/>
    <w:rsid w:val="009E105A"/>
    <w:rsid w:val="00A44167"/>
    <w:rsid w:val="00B751CE"/>
    <w:rsid w:val="00B9387F"/>
    <w:rsid w:val="00BF0014"/>
    <w:rsid w:val="00C13B38"/>
    <w:rsid w:val="00C41972"/>
    <w:rsid w:val="00C50C26"/>
    <w:rsid w:val="00D57A48"/>
    <w:rsid w:val="00F15E61"/>
    <w:rsid w:val="00FD2767"/>
    <w:rsid w:val="00FD79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4FA98-9ABA-4DC5-B092-8EE433AD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5E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15DE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5DEA"/>
    <w:pPr>
      <w:ind w:left="720"/>
      <w:contextualSpacing/>
    </w:pPr>
  </w:style>
  <w:style w:type="paragraph" w:styleId="Koptekst">
    <w:name w:val="header"/>
    <w:basedOn w:val="Standaard"/>
    <w:link w:val="KoptekstChar"/>
    <w:uiPriority w:val="99"/>
    <w:unhideWhenUsed/>
    <w:rsid w:val="000922E4"/>
    <w:pPr>
      <w:tabs>
        <w:tab w:val="center" w:pos="4536"/>
        <w:tab w:val="right" w:pos="9072"/>
      </w:tabs>
      <w:spacing w:before="0"/>
    </w:pPr>
  </w:style>
  <w:style w:type="character" w:customStyle="1" w:styleId="KoptekstChar">
    <w:name w:val="Koptekst Char"/>
    <w:basedOn w:val="Standaardalinea-lettertype"/>
    <w:link w:val="Koptekst"/>
    <w:uiPriority w:val="99"/>
    <w:rsid w:val="000922E4"/>
  </w:style>
  <w:style w:type="paragraph" w:styleId="Voettekst">
    <w:name w:val="footer"/>
    <w:basedOn w:val="Standaard"/>
    <w:link w:val="VoettekstChar"/>
    <w:uiPriority w:val="99"/>
    <w:unhideWhenUsed/>
    <w:rsid w:val="000922E4"/>
    <w:pPr>
      <w:tabs>
        <w:tab w:val="center" w:pos="4536"/>
        <w:tab w:val="right" w:pos="9072"/>
      </w:tabs>
      <w:spacing w:before="0"/>
    </w:pPr>
  </w:style>
  <w:style w:type="character" w:customStyle="1" w:styleId="VoettekstChar">
    <w:name w:val="Voettekst Char"/>
    <w:basedOn w:val="Standaardalinea-lettertype"/>
    <w:link w:val="Voettekst"/>
    <w:uiPriority w:val="99"/>
    <w:rsid w:val="0009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2430</Words>
  <Characters>13365</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Graaf, D vander</cp:lastModifiedBy>
  <cp:revision>3</cp:revision>
  <dcterms:created xsi:type="dcterms:W3CDTF">2017-06-23T09:56:00Z</dcterms:created>
  <dcterms:modified xsi:type="dcterms:W3CDTF">2017-06-23T10:07:00Z</dcterms:modified>
</cp:coreProperties>
</file>