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B85" w:rsidRPr="004D1F1A" w:rsidRDefault="000A0B85" w:rsidP="000A0B85">
      <w:pPr>
        <w:pStyle w:val="Kop1"/>
        <w:rPr>
          <w:rFonts w:ascii="Arial" w:hAnsi="Arial"/>
          <w:sz w:val="20"/>
          <w:lang w:val="nl-NL"/>
        </w:rPr>
      </w:pPr>
      <w:bookmarkStart w:id="0" w:name="blwBoodschap"/>
      <w:bookmarkEnd w:id="0"/>
      <w:r w:rsidRPr="004D1F1A">
        <w:rPr>
          <w:rFonts w:ascii="Arial" w:hAnsi="Arial"/>
          <w:sz w:val="20"/>
          <w:lang w:val="nl-NL"/>
        </w:rPr>
        <w:t>Raadsmemo</w:t>
      </w:r>
    </w:p>
    <w:p w:rsidR="000A0B85" w:rsidRPr="00802D67" w:rsidRDefault="000A0B85" w:rsidP="000A0B85">
      <w:pPr>
        <w:rPr>
          <w:rFonts w:ascii="Arial" w:hAnsi="Arial"/>
        </w:rPr>
      </w:pPr>
    </w:p>
    <w:p w:rsidR="000A0B85" w:rsidRPr="00802D67" w:rsidRDefault="000A0B85" w:rsidP="000A0B85">
      <w:pPr>
        <w:rPr>
          <w:rFonts w:ascii="Arial" w:hAnsi="Arial"/>
        </w:rPr>
      </w:pPr>
    </w:p>
    <w:tbl>
      <w:tblPr>
        <w:tblW w:w="0" w:type="auto"/>
        <w:tblLayout w:type="fixed"/>
        <w:tblCellMar>
          <w:left w:w="0" w:type="dxa"/>
          <w:right w:w="0" w:type="dxa"/>
        </w:tblCellMar>
        <w:tblLook w:val="01E0" w:firstRow="1" w:lastRow="1" w:firstColumn="1" w:lastColumn="1" w:noHBand="0" w:noVBand="0"/>
      </w:tblPr>
      <w:tblGrid>
        <w:gridCol w:w="1134"/>
        <w:gridCol w:w="113"/>
        <w:gridCol w:w="7540"/>
      </w:tblGrid>
      <w:tr w:rsidR="000A0B85" w:rsidRPr="00802D67" w:rsidTr="00C07A03">
        <w:tc>
          <w:tcPr>
            <w:tcW w:w="1134" w:type="dxa"/>
            <w:shd w:val="clear" w:color="auto" w:fill="auto"/>
          </w:tcPr>
          <w:p w:rsidR="000A0B85" w:rsidRPr="00802D67" w:rsidRDefault="000A0B85" w:rsidP="00C07A03">
            <w:pPr>
              <w:rPr>
                <w:rFonts w:ascii="Arial" w:hAnsi="Arial"/>
              </w:rPr>
            </w:pPr>
            <w:r w:rsidRPr="00802D67">
              <w:rPr>
                <w:rFonts w:ascii="Arial" w:hAnsi="Arial"/>
              </w:rPr>
              <w:t>Onderwerp</w:t>
            </w:r>
          </w:p>
        </w:tc>
        <w:tc>
          <w:tcPr>
            <w:tcW w:w="113" w:type="dxa"/>
            <w:shd w:val="clear" w:color="auto" w:fill="auto"/>
          </w:tcPr>
          <w:p w:rsidR="000A0B85" w:rsidRPr="00802D67" w:rsidRDefault="000A0B85" w:rsidP="00C07A03">
            <w:pPr>
              <w:rPr>
                <w:rFonts w:ascii="Arial" w:hAnsi="Arial"/>
              </w:rPr>
            </w:pPr>
          </w:p>
        </w:tc>
        <w:tc>
          <w:tcPr>
            <w:tcW w:w="7540" w:type="dxa"/>
            <w:shd w:val="clear" w:color="auto" w:fill="auto"/>
          </w:tcPr>
          <w:p w:rsidR="000A0B85" w:rsidRPr="00802D67" w:rsidRDefault="000A0B85" w:rsidP="003904E9">
            <w:pPr>
              <w:rPr>
                <w:rFonts w:ascii="Arial" w:hAnsi="Arial"/>
              </w:rPr>
            </w:pPr>
            <w:bookmarkStart w:id="1" w:name="iOnderwerp"/>
            <w:bookmarkEnd w:id="1"/>
            <w:r>
              <w:rPr>
                <w:rFonts w:ascii="Arial" w:hAnsi="Arial"/>
              </w:rPr>
              <w:t xml:space="preserve">Raadsmemo </w:t>
            </w:r>
            <w:r w:rsidR="003904E9">
              <w:rPr>
                <w:rFonts w:ascii="Arial" w:hAnsi="Arial"/>
              </w:rPr>
              <w:t>bestemmingsplan Landelijk Gebied</w:t>
            </w:r>
          </w:p>
        </w:tc>
      </w:tr>
      <w:tr w:rsidR="000A0B85" w:rsidRPr="00802D67" w:rsidTr="00C07A03">
        <w:tc>
          <w:tcPr>
            <w:tcW w:w="1134" w:type="dxa"/>
            <w:shd w:val="clear" w:color="auto" w:fill="auto"/>
          </w:tcPr>
          <w:p w:rsidR="000A0B85" w:rsidRPr="00802D67" w:rsidRDefault="000A0B85" w:rsidP="00C07A03">
            <w:pPr>
              <w:rPr>
                <w:rFonts w:ascii="Arial" w:hAnsi="Arial"/>
              </w:rPr>
            </w:pPr>
          </w:p>
        </w:tc>
        <w:tc>
          <w:tcPr>
            <w:tcW w:w="113" w:type="dxa"/>
            <w:shd w:val="clear" w:color="auto" w:fill="auto"/>
          </w:tcPr>
          <w:p w:rsidR="000A0B85" w:rsidRPr="00802D67" w:rsidRDefault="000A0B85" w:rsidP="00C07A03">
            <w:pPr>
              <w:rPr>
                <w:rFonts w:ascii="Arial" w:hAnsi="Arial"/>
              </w:rPr>
            </w:pPr>
          </w:p>
        </w:tc>
        <w:tc>
          <w:tcPr>
            <w:tcW w:w="7540" w:type="dxa"/>
            <w:shd w:val="clear" w:color="auto" w:fill="auto"/>
          </w:tcPr>
          <w:p w:rsidR="000A0B85" w:rsidRPr="00802D67" w:rsidRDefault="000A0B85" w:rsidP="00C07A03">
            <w:pPr>
              <w:rPr>
                <w:rFonts w:ascii="Arial" w:hAnsi="Arial"/>
              </w:rPr>
            </w:pPr>
          </w:p>
        </w:tc>
      </w:tr>
      <w:tr w:rsidR="000A0B85" w:rsidRPr="00802D67" w:rsidTr="00C07A03">
        <w:tc>
          <w:tcPr>
            <w:tcW w:w="1134" w:type="dxa"/>
            <w:shd w:val="clear" w:color="auto" w:fill="auto"/>
          </w:tcPr>
          <w:p w:rsidR="000A0B85" w:rsidRPr="00802D67" w:rsidRDefault="000A0B85" w:rsidP="00C07A03">
            <w:pPr>
              <w:rPr>
                <w:rFonts w:ascii="Arial" w:hAnsi="Arial"/>
              </w:rPr>
            </w:pPr>
            <w:r w:rsidRPr="00802D67">
              <w:rPr>
                <w:rFonts w:ascii="Arial" w:hAnsi="Arial"/>
              </w:rPr>
              <w:t>Datum</w:t>
            </w:r>
          </w:p>
        </w:tc>
        <w:tc>
          <w:tcPr>
            <w:tcW w:w="113" w:type="dxa"/>
            <w:shd w:val="clear" w:color="auto" w:fill="auto"/>
          </w:tcPr>
          <w:p w:rsidR="000A0B85" w:rsidRPr="00802D67" w:rsidRDefault="000A0B85" w:rsidP="00C07A03">
            <w:pPr>
              <w:rPr>
                <w:rFonts w:ascii="Arial" w:hAnsi="Arial"/>
              </w:rPr>
            </w:pPr>
          </w:p>
        </w:tc>
        <w:tc>
          <w:tcPr>
            <w:tcW w:w="7540" w:type="dxa"/>
            <w:shd w:val="clear" w:color="auto" w:fill="auto"/>
          </w:tcPr>
          <w:p w:rsidR="000A0B85" w:rsidRPr="00802D67" w:rsidRDefault="00025361" w:rsidP="00C07A03">
            <w:pPr>
              <w:rPr>
                <w:rFonts w:ascii="Arial" w:hAnsi="Arial"/>
              </w:rPr>
            </w:pPr>
            <w:bookmarkStart w:id="2" w:name="iDatum"/>
            <w:bookmarkEnd w:id="2"/>
            <w:r>
              <w:rPr>
                <w:rFonts w:ascii="Arial" w:hAnsi="Arial"/>
              </w:rPr>
              <w:t>21</w:t>
            </w:r>
            <w:r w:rsidR="003904E9">
              <w:rPr>
                <w:rFonts w:ascii="Arial" w:hAnsi="Arial"/>
              </w:rPr>
              <w:t xml:space="preserve"> juli 2017</w:t>
            </w:r>
          </w:p>
        </w:tc>
      </w:tr>
      <w:tr w:rsidR="000A0B85" w:rsidRPr="00802D67" w:rsidTr="00C07A03">
        <w:tc>
          <w:tcPr>
            <w:tcW w:w="1134" w:type="dxa"/>
            <w:shd w:val="clear" w:color="auto" w:fill="auto"/>
          </w:tcPr>
          <w:p w:rsidR="000A0B85" w:rsidRPr="00802D67" w:rsidRDefault="000A0B85" w:rsidP="00C07A03">
            <w:pPr>
              <w:rPr>
                <w:rFonts w:ascii="Arial" w:hAnsi="Arial"/>
              </w:rPr>
            </w:pPr>
          </w:p>
        </w:tc>
        <w:tc>
          <w:tcPr>
            <w:tcW w:w="113" w:type="dxa"/>
            <w:shd w:val="clear" w:color="auto" w:fill="auto"/>
          </w:tcPr>
          <w:p w:rsidR="000A0B85" w:rsidRPr="00802D67" w:rsidRDefault="000A0B85" w:rsidP="00C07A03">
            <w:pPr>
              <w:rPr>
                <w:rFonts w:ascii="Arial" w:hAnsi="Arial"/>
              </w:rPr>
            </w:pPr>
          </w:p>
        </w:tc>
        <w:tc>
          <w:tcPr>
            <w:tcW w:w="7540" w:type="dxa"/>
            <w:shd w:val="clear" w:color="auto" w:fill="auto"/>
          </w:tcPr>
          <w:p w:rsidR="000A0B85" w:rsidRPr="00802D67" w:rsidRDefault="000A0B85" w:rsidP="00C07A03">
            <w:pPr>
              <w:rPr>
                <w:rFonts w:ascii="Arial" w:hAnsi="Arial"/>
              </w:rPr>
            </w:pPr>
          </w:p>
        </w:tc>
      </w:tr>
      <w:tr w:rsidR="000A0B85" w:rsidRPr="00802D67" w:rsidTr="00C07A03">
        <w:tc>
          <w:tcPr>
            <w:tcW w:w="1134" w:type="dxa"/>
            <w:shd w:val="clear" w:color="auto" w:fill="auto"/>
          </w:tcPr>
          <w:p w:rsidR="000A0B85" w:rsidRPr="00802D67" w:rsidRDefault="000A0B85" w:rsidP="00C07A03">
            <w:pPr>
              <w:rPr>
                <w:rFonts w:ascii="Arial" w:hAnsi="Arial"/>
              </w:rPr>
            </w:pPr>
            <w:r w:rsidRPr="00802D67">
              <w:rPr>
                <w:rFonts w:ascii="Arial" w:hAnsi="Arial"/>
              </w:rPr>
              <w:t>Afzender</w:t>
            </w:r>
          </w:p>
        </w:tc>
        <w:tc>
          <w:tcPr>
            <w:tcW w:w="113" w:type="dxa"/>
            <w:shd w:val="clear" w:color="auto" w:fill="auto"/>
          </w:tcPr>
          <w:p w:rsidR="000A0B85" w:rsidRPr="00802D67" w:rsidRDefault="000A0B85" w:rsidP="00C07A03">
            <w:pPr>
              <w:rPr>
                <w:rFonts w:ascii="Arial" w:hAnsi="Arial"/>
              </w:rPr>
            </w:pPr>
          </w:p>
        </w:tc>
        <w:tc>
          <w:tcPr>
            <w:tcW w:w="7540" w:type="dxa"/>
            <w:shd w:val="clear" w:color="auto" w:fill="auto"/>
          </w:tcPr>
          <w:p w:rsidR="000A0B85" w:rsidRPr="00802D67" w:rsidRDefault="000A0B85" w:rsidP="00C07A03">
            <w:pPr>
              <w:rPr>
                <w:rFonts w:ascii="Arial" w:hAnsi="Arial"/>
              </w:rPr>
            </w:pPr>
            <w:bookmarkStart w:id="3" w:name="iAfzender"/>
            <w:bookmarkEnd w:id="3"/>
            <w:r w:rsidRPr="00802D67">
              <w:rPr>
                <w:rFonts w:ascii="Arial" w:hAnsi="Arial"/>
              </w:rPr>
              <w:t>Arjan Kraijo</w:t>
            </w:r>
          </w:p>
        </w:tc>
      </w:tr>
      <w:tr w:rsidR="000A0B85" w:rsidRPr="00802D67" w:rsidTr="00C07A03">
        <w:tc>
          <w:tcPr>
            <w:tcW w:w="1134" w:type="dxa"/>
            <w:shd w:val="clear" w:color="auto" w:fill="auto"/>
          </w:tcPr>
          <w:p w:rsidR="000A0B85" w:rsidRPr="00802D67" w:rsidRDefault="000A0B85" w:rsidP="00C07A03">
            <w:pPr>
              <w:rPr>
                <w:rFonts w:ascii="Arial" w:hAnsi="Arial"/>
              </w:rPr>
            </w:pPr>
          </w:p>
        </w:tc>
        <w:tc>
          <w:tcPr>
            <w:tcW w:w="113" w:type="dxa"/>
            <w:shd w:val="clear" w:color="auto" w:fill="auto"/>
          </w:tcPr>
          <w:p w:rsidR="000A0B85" w:rsidRPr="00802D67" w:rsidRDefault="000A0B85" w:rsidP="00C07A03">
            <w:pPr>
              <w:rPr>
                <w:rFonts w:ascii="Arial" w:hAnsi="Arial"/>
              </w:rPr>
            </w:pPr>
          </w:p>
        </w:tc>
        <w:tc>
          <w:tcPr>
            <w:tcW w:w="7540" w:type="dxa"/>
            <w:shd w:val="clear" w:color="auto" w:fill="auto"/>
          </w:tcPr>
          <w:p w:rsidR="000A0B85" w:rsidRPr="00802D67" w:rsidRDefault="000A0B85" w:rsidP="00C07A03">
            <w:pPr>
              <w:rPr>
                <w:rFonts w:ascii="Arial" w:hAnsi="Arial"/>
              </w:rPr>
            </w:pPr>
          </w:p>
        </w:tc>
      </w:tr>
      <w:tr w:rsidR="000A0B85" w:rsidRPr="00802D67" w:rsidTr="00C07A03">
        <w:tc>
          <w:tcPr>
            <w:tcW w:w="1134" w:type="dxa"/>
            <w:shd w:val="clear" w:color="auto" w:fill="auto"/>
          </w:tcPr>
          <w:p w:rsidR="000A0B85" w:rsidRPr="00802D67" w:rsidRDefault="000A0B85" w:rsidP="00C07A03">
            <w:pPr>
              <w:rPr>
                <w:rFonts w:ascii="Arial" w:hAnsi="Arial"/>
              </w:rPr>
            </w:pPr>
            <w:r w:rsidRPr="00802D67">
              <w:rPr>
                <w:rFonts w:ascii="Arial" w:hAnsi="Arial"/>
              </w:rPr>
              <w:t>Tel.nr.</w:t>
            </w:r>
          </w:p>
        </w:tc>
        <w:tc>
          <w:tcPr>
            <w:tcW w:w="113" w:type="dxa"/>
            <w:shd w:val="clear" w:color="auto" w:fill="auto"/>
          </w:tcPr>
          <w:p w:rsidR="000A0B85" w:rsidRPr="00802D67" w:rsidRDefault="000A0B85" w:rsidP="00C07A03">
            <w:pPr>
              <w:rPr>
                <w:rFonts w:ascii="Arial" w:hAnsi="Arial"/>
              </w:rPr>
            </w:pPr>
          </w:p>
        </w:tc>
        <w:tc>
          <w:tcPr>
            <w:tcW w:w="7540" w:type="dxa"/>
            <w:shd w:val="clear" w:color="auto" w:fill="auto"/>
          </w:tcPr>
          <w:p w:rsidR="000A0B85" w:rsidRPr="00802D67" w:rsidRDefault="000A0B85" w:rsidP="00C07A03">
            <w:pPr>
              <w:rPr>
                <w:rFonts w:ascii="Arial" w:hAnsi="Arial"/>
              </w:rPr>
            </w:pPr>
            <w:bookmarkStart w:id="4" w:name="iTelefoon"/>
            <w:bookmarkEnd w:id="4"/>
            <w:r w:rsidRPr="00802D67">
              <w:rPr>
                <w:rFonts w:ascii="Arial" w:hAnsi="Arial"/>
              </w:rPr>
              <w:t>(078) 770 6004</w:t>
            </w:r>
          </w:p>
        </w:tc>
      </w:tr>
      <w:tr w:rsidR="000A0B85" w:rsidRPr="00802D67" w:rsidTr="00C07A03">
        <w:tc>
          <w:tcPr>
            <w:tcW w:w="1134" w:type="dxa"/>
            <w:shd w:val="clear" w:color="auto" w:fill="auto"/>
          </w:tcPr>
          <w:p w:rsidR="000A0B85" w:rsidRPr="00802D67" w:rsidRDefault="000A0B85" w:rsidP="00C07A03">
            <w:pPr>
              <w:rPr>
                <w:rFonts w:ascii="Arial" w:hAnsi="Arial"/>
              </w:rPr>
            </w:pPr>
          </w:p>
        </w:tc>
        <w:tc>
          <w:tcPr>
            <w:tcW w:w="113" w:type="dxa"/>
            <w:shd w:val="clear" w:color="auto" w:fill="auto"/>
          </w:tcPr>
          <w:p w:rsidR="000A0B85" w:rsidRPr="00802D67" w:rsidRDefault="000A0B85" w:rsidP="00C07A03">
            <w:pPr>
              <w:rPr>
                <w:rFonts w:ascii="Arial" w:hAnsi="Arial"/>
              </w:rPr>
            </w:pPr>
          </w:p>
        </w:tc>
        <w:tc>
          <w:tcPr>
            <w:tcW w:w="7540" w:type="dxa"/>
            <w:shd w:val="clear" w:color="auto" w:fill="auto"/>
          </w:tcPr>
          <w:p w:rsidR="000A0B85" w:rsidRPr="00802D67" w:rsidRDefault="000A0B85" w:rsidP="00C07A03">
            <w:pPr>
              <w:rPr>
                <w:rFonts w:ascii="Arial" w:hAnsi="Arial"/>
              </w:rPr>
            </w:pPr>
          </w:p>
        </w:tc>
      </w:tr>
      <w:tr w:rsidR="000A0B85" w:rsidRPr="00802D67" w:rsidTr="00C07A03">
        <w:trPr>
          <w:trHeight w:val="80"/>
        </w:trPr>
        <w:tc>
          <w:tcPr>
            <w:tcW w:w="1134" w:type="dxa"/>
            <w:shd w:val="clear" w:color="auto" w:fill="auto"/>
          </w:tcPr>
          <w:p w:rsidR="000A0B85" w:rsidRPr="00802D67" w:rsidRDefault="000A0B85" w:rsidP="00C07A03">
            <w:pPr>
              <w:rPr>
                <w:rFonts w:ascii="Arial" w:hAnsi="Arial"/>
              </w:rPr>
            </w:pPr>
            <w:r w:rsidRPr="00802D67">
              <w:rPr>
                <w:rFonts w:ascii="Arial" w:hAnsi="Arial"/>
              </w:rPr>
              <w:t>Emailadres</w:t>
            </w:r>
          </w:p>
        </w:tc>
        <w:tc>
          <w:tcPr>
            <w:tcW w:w="113" w:type="dxa"/>
            <w:shd w:val="clear" w:color="auto" w:fill="auto"/>
          </w:tcPr>
          <w:p w:rsidR="000A0B85" w:rsidRPr="00802D67" w:rsidRDefault="000A0B85" w:rsidP="00C07A03">
            <w:pPr>
              <w:rPr>
                <w:rFonts w:ascii="Arial" w:hAnsi="Arial"/>
              </w:rPr>
            </w:pPr>
          </w:p>
        </w:tc>
        <w:tc>
          <w:tcPr>
            <w:tcW w:w="7540" w:type="dxa"/>
            <w:shd w:val="clear" w:color="auto" w:fill="auto"/>
          </w:tcPr>
          <w:p w:rsidR="000A0B85" w:rsidRPr="00802D67" w:rsidRDefault="000A0B85" w:rsidP="00C07A03">
            <w:pPr>
              <w:rPr>
                <w:rFonts w:ascii="Arial" w:hAnsi="Arial"/>
              </w:rPr>
            </w:pPr>
            <w:bookmarkStart w:id="5" w:name="iEmail"/>
            <w:bookmarkEnd w:id="5"/>
            <w:r w:rsidRPr="00802D67">
              <w:rPr>
                <w:rFonts w:ascii="Arial" w:hAnsi="Arial"/>
              </w:rPr>
              <w:t>a.kraijo@alblasserdam.nl</w:t>
            </w:r>
          </w:p>
        </w:tc>
      </w:tr>
    </w:tbl>
    <w:p w:rsidR="000A0B85" w:rsidRPr="00802D67" w:rsidRDefault="000A0B85" w:rsidP="000A0B85">
      <w:pPr>
        <w:rPr>
          <w:rFonts w:ascii="Arial" w:hAnsi="Arial"/>
        </w:rPr>
      </w:pPr>
    </w:p>
    <w:p w:rsidR="000A0B85" w:rsidRPr="00802D67" w:rsidRDefault="000A0B85" w:rsidP="000A0B85">
      <w:pPr>
        <w:rPr>
          <w:rFonts w:ascii="Arial" w:hAnsi="Arial"/>
        </w:rPr>
      </w:pPr>
    </w:p>
    <w:p w:rsidR="000A0B85" w:rsidRPr="00802D67" w:rsidRDefault="000A0B85" w:rsidP="000A0B85">
      <w:pPr>
        <w:rPr>
          <w:rFonts w:ascii="Arial" w:hAnsi="Arial"/>
        </w:rPr>
      </w:pPr>
    </w:p>
    <w:p w:rsidR="000A0B85" w:rsidRPr="00802D67" w:rsidRDefault="000A0B85" w:rsidP="000A0B85">
      <w:pPr>
        <w:rPr>
          <w:rFonts w:ascii="Arial" w:hAnsi="Arial"/>
        </w:rPr>
      </w:pPr>
      <w:r w:rsidRPr="00802D67">
        <w:rPr>
          <w:rFonts w:ascii="Arial" w:hAnsi="Arial"/>
        </w:rPr>
        <w:t>Geachte raad,</w:t>
      </w:r>
    </w:p>
    <w:p w:rsidR="000A0B85" w:rsidRPr="00802D67" w:rsidRDefault="000A0B85" w:rsidP="000A0B85">
      <w:pPr>
        <w:rPr>
          <w:rFonts w:ascii="Arial" w:hAnsi="Arial"/>
        </w:rPr>
      </w:pPr>
    </w:p>
    <w:p w:rsidR="000A0B85" w:rsidRPr="00802D67" w:rsidRDefault="000A0B85" w:rsidP="000A0B85">
      <w:pPr>
        <w:rPr>
          <w:rFonts w:ascii="Arial" w:hAnsi="Arial"/>
        </w:rPr>
      </w:pPr>
      <w:r w:rsidRPr="00802D67">
        <w:rPr>
          <w:rFonts w:ascii="Arial" w:hAnsi="Arial"/>
        </w:rPr>
        <w:t xml:space="preserve">Bijgevoegd stuk wordt u ter kennisname toegezonden. </w:t>
      </w:r>
    </w:p>
    <w:p w:rsidR="000A0B85" w:rsidRPr="00802D67" w:rsidRDefault="000A0B85" w:rsidP="000A0B85">
      <w:pPr>
        <w:rPr>
          <w:rFonts w:ascii="Arial" w:hAnsi="Arial"/>
        </w:rPr>
      </w:pPr>
      <w:r w:rsidRPr="00802D67">
        <w:rPr>
          <w:rFonts w:ascii="Arial" w:hAnsi="Arial"/>
        </w:rPr>
        <w:t xml:space="preserve">Het betreft informatie waarvan het nuttig gevonden wordt dat u ervan op de hoogte bent, dan wel de toezending van een door het college of een lid van het college in commissie of raad toegezegd stuk. </w:t>
      </w:r>
    </w:p>
    <w:p w:rsidR="000A0B85" w:rsidRPr="00802D67" w:rsidRDefault="000A0B85" w:rsidP="000A0B85">
      <w:pPr>
        <w:rPr>
          <w:rFonts w:ascii="Arial" w:hAnsi="Arial"/>
        </w:rPr>
      </w:pPr>
    </w:p>
    <w:p w:rsidR="000A0B85" w:rsidRPr="00802D67" w:rsidRDefault="000A0B85" w:rsidP="000A0B85">
      <w:pPr>
        <w:rPr>
          <w:rFonts w:ascii="Arial" w:hAnsi="Arial"/>
        </w:rPr>
      </w:pPr>
      <w:r w:rsidRPr="00802D67">
        <w:rPr>
          <w:rFonts w:ascii="Arial" w:hAnsi="Arial"/>
        </w:rPr>
        <w:t>In tegenstelling tot het verstrekken van informatie via een raadsinformatiebrief is de raadsmemo niet vooraf in het college besproken en vastgesteld.</w:t>
      </w:r>
    </w:p>
    <w:p w:rsidR="000A0B85" w:rsidRPr="00802D67" w:rsidRDefault="000A0B85" w:rsidP="000A0B85">
      <w:pPr>
        <w:rPr>
          <w:rFonts w:ascii="Arial" w:hAnsi="Arial"/>
        </w:rPr>
      </w:pPr>
    </w:p>
    <w:p w:rsidR="000A0B85" w:rsidRPr="00802D67" w:rsidRDefault="000A0B85" w:rsidP="000A0B85">
      <w:pPr>
        <w:rPr>
          <w:rFonts w:ascii="Arial" w:hAnsi="Arial"/>
        </w:rPr>
      </w:pPr>
      <w:r w:rsidRPr="00802D67">
        <w:rPr>
          <w:rFonts w:ascii="Arial" w:hAnsi="Arial"/>
        </w:rPr>
        <w:t>Met het presidium is afgesproken dat informatie verstrekt via een raadsmemo wel als ingekomen stuk wordt geregistreerd, maar niet geagendeerd wordt voor een commissie- of raadsvergadering, tenzij een lid van een commissie of de raad hier via de griffier om verzoekt.</w:t>
      </w:r>
    </w:p>
    <w:p w:rsidR="000A0B85" w:rsidRPr="00802D67" w:rsidRDefault="000A0B85" w:rsidP="000A0B85">
      <w:pPr>
        <w:rPr>
          <w:rFonts w:ascii="Arial" w:hAnsi="Arial"/>
        </w:rPr>
      </w:pPr>
    </w:p>
    <w:p w:rsidR="00025361" w:rsidRDefault="000A0B85" w:rsidP="000A0B85">
      <w:pPr>
        <w:rPr>
          <w:rFonts w:ascii="Arial" w:hAnsi="Arial"/>
        </w:rPr>
      </w:pPr>
      <w:r w:rsidRPr="00802D67">
        <w:rPr>
          <w:rFonts w:ascii="Arial" w:hAnsi="Arial"/>
        </w:rPr>
        <w:t>Voor zover van belang treft u no</w:t>
      </w:r>
      <w:r w:rsidR="00025361">
        <w:rPr>
          <w:rFonts w:ascii="Arial" w:hAnsi="Arial"/>
        </w:rPr>
        <w:t>g de volgende korte toelichting.</w:t>
      </w:r>
    </w:p>
    <w:p w:rsidR="00025361" w:rsidRDefault="00025361" w:rsidP="000A0B85">
      <w:pPr>
        <w:rPr>
          <w:rFonts w:ascii="Arial" w:hAnsi="Arial"/>
        </w:rPr>
      </w:pPr>
    </w:p>
    <w:p w:rsidR="00322EF7" w:rsidRDefault="00322EF7" w:rsidP="000A0B85">
      <w:pPr>
        <w:rPr>
          <w:rFonts w:ascii="Arial" w:hAnsi="Arial"/>
        </w:rPr>
      </w:pPr>
      <w:r>
        <w:rPr>
          <w:rFonts w:ascii="Arial" w:hAnsi="Arial"/>
        </w:rPr>
        <w:t xml:space="preserve">Op 24 mei jl. is het gewijzigd vastgestelde bestemmingsplan Landelijk Gebied gepubliceerd in de Klaroen en de Staatscourant. </w:t>
      </w:r>
      <w:r w:rsidR="00536C49" w:rsidRPr="00536C49">
        <w:rPr>
          <w:rFonts w:ascii="Arial" w:hAnsi="Arial"/>
        </w:rPr>
        <w:t>Nadien is gebleken dat één van de wijzigingen die volgen uit de nota zienswijzen niet correct is overgenomen in deze gepubliceerde versie. Het betreft het aanpassen van de verbeelding op het punt van de beschermingszones van de regionale waterkeringen en de primaire waterkering, zoals toegezegd in de beantwoording van de zienswijze van Waterschap Rivierenland. Daarmee is het gepubliceerde bestemmingsplan niet in overeenstemming met het bestemmingsplan zoals gewijzigd vastgesteld door de gemeenteraad. In de nu gepubliceerde versie van het bestemmingsplan is deze omissie hersteld.</w:t>
      </w:r>
      <w:r w:rsidR="000B52AC">
        <w:rPr>
          <w:rFonts w:ascii="Arial" w:hAnsi="Arial"/>
        </w:rPr>
        <w:t xml:space="preserve"> </w:t>
      </w:r>
      <w:bookmarkStart w:id="6" w:name="_GoBack"/>
      <w:bookmarkEnd w:id="6"/>
    </w:p>
    <w:p w:rsidR="00322EF7" w:rsidRDefault="00322EF7">
      <w:pPr>
        <w:rPr>
          <w:rFonts w:ascii="Arial" w:hAnsi="Arial"/>
        </w:rPr>
      </w:pPr>
    </w:p>
    <w:p w:rsidR="00322EF7" w:rsidRPr="00322EF7" w:rsidRDefault="00322EF7" w:rsidP="00322EF7">
      <w:pPr>
        <w:pStyle w:val="Tekstzonderopmaak"/>
        <w:rPr>
          <w:rFonts w:ascii="Arial" w:eastAsia="Times New Roman" w:hAnsi="Arial"/>
          <w:sz w:val="20"/>
          <w:szCs w:val="20"/>
          <w:lang w:eastAsia="nl-NL"/>
        </w:rPr>
      </w:pPr>
      <w:r w:rsidRPr="00322EF7">
        <w:rPr>
          <w:rFonts w:ascii="Arial" w:eastAsia="Times New Roman" w:hAnsi="Arial"/>
          <w:sz w:val="20"/>
          <w:szCs w:val="20"/>
          <w:lang w:eastAsia="nl-NL"/>
        </w:rPr>
        <w:t>Daarnaast is een voorstel gedaan hoe om te gaan met de procedure/publicatie van de aanpassingen.</w:t>
      </w:r>
    </w:p>
    <w:p w:rsidR="00322EF7" w:rsidRPr="00322EF7" w:rsidRDefault="00322EF7" w:rsidP="00322EF7">
      <w:pPr>
        <w:pStyle w:val="Tekstzonderopmaak"/>
        <w:numPr>
          <w:ilvl w:val="0"/>
          <w:numId w:val="2"/>
        </w:numPr>
        <w:rPr>
          <w:rFonts w:ascii="Arial" w:eastAsia="Times New Roman" w:hAnsi="Arial"/>
          <w:sz w:val="20"/>
          <w:szCs w:val="20"/>
          <w:lang w:eastAsia="nl-NL"/>
        </w:rPr>
      </w:pPr>
      <w:r w:rsidRPr="00322EF7">
        <w:rPr>
          <w:rFonts w:ascii="Arial" w:eastAsia="Times New Roman" w:hAnsi="Arial"/>
          <w:sz w:val="20"/>
          <w:szCs w:val="20"/>
          <w:lang w:eastAsia="nl-NL"/>
        </w:rPr>
        <w:t>Er is geen nieuw raadsbesluit nodig. Het oorspronkelijke raadsbesluit voorziet al in het doorvoeren van benodigde aanpassingen, o.a. met betrekking tot dit onderwerp (waterstaat/waterkering).</w:t>
      </w:r>
    </w:p>
    <w:p w:rsidR="00322EF7" w:rsidRPr="00322EF7" w:rsidRDefault="00322EF7" w:rsidP="00322EF7">
      <w:pPr>
        <w:pStyle w:val="Tekstzonderopmaak"/>
        <w:numPr>
          <w:ilvl w:val="0"/>
          <w:numId w:val="2"/>
        </w:numPr>
        <w:rPr>
          <w:rFonts w:ascii="Arial" w:eastAsia="Times New Roman" w:hAnsi="Arial"/>
          <w:sz w:val="20"/>
          <w:szCs w:val="20"/>
          <w:lang w:eastAsia="nl-NL"/>
        </w:rPr>
      </w:pPr>
      <w:r w:rsidRPr="00322EF7">
        <w:rPr>
          <w:rFonts w:ascii="Arial" w:eastAsia="Times New Roman" w:hAnsi="Arial"/>
          <w:sz w:val="20"/>
          <w:szCs w:val="20"/>
          <w:lang w:eastAsia="nl-NL"/>
        </w:rPr>
        <w:t xml:space="preserve">Wel dient de publicatie en beroepstermijn van het plan opnieuw gestart te worden. De periode van 6 weken gaat daarmee opnieuw in. Het is immers niet mogelijk binnen een lopende termijn het plan aan te passen. In dat laatste geval kunnen situaties ontstaan waarbij partijen het ene plan online zien staan, terwijl aan het eind van de 6 weken periode een andere versie van het plan onherroepelijk zou worden. </w:t>
      </w:r>
    </w:p>
    <w:p w:rsidR="00322EF7" w:rsidRPr="00322EF7" w:rsidRDefault="00322EF7" w:rsidP="00322EF7">
      <w:pPr>
        <w:pStyle w:val="Tekstzonderopmaak"/>
        <w:numPr>
          <w:ilvl w:val="0"/>
          <w:numId w:val="2"/>
        </w:numPr>
        <w:rPr>
          <w:rFonts w:ascii="Arial" w:eastAsia="Times New Roman" w:hAnsi="Arial"/>
          <w:sz w:val="20"/>
          <w:szCs w:val="20"/>
          <w:lang w:eastAsia="nl-NL"/>
        </w:rPr>
      </w:pPr>
      <w:r w:rsidRPr="00322EF7">
        <w:rPr>
          <w:rFonts w:ascii="Arial" w:eastAsia="Times New Roman" w:hAnsi="Arial"/>
          <w:sz w:val="20"/>
          <w:szCs w:val="20"/>
          <w:lang w:eastAsia="nl-NL"/>
        </w:rPr>
        <w:lastRenderedPageBreak/>
        <w:t>In de nieuwe publicatie is een korte toelichting nodig waaruit duidelijk wordt waarom er opnieuw gepubliceerd wordt, namelijk het corrigeren van het plan om daarmee (op juiste wijze) uitvoering te geven aan het oorspronkelijke raadsbesluit.</w:t>
      </w:r>
    </w:p>
    <w:p w:rsidR="00322EF7" w:rsidRPr="00322EF7" w:rsidRDefault="00322EF7" w:rsidP="00322EF7">
      <w:pPr>
        <w:pStyle w:val="Tekstzonderopmaak"/>
        <w:numPr>
          <w:ilvl w:val="0"/>
          <w:numId w:val="2"/>
        </w:numPr>
        <w:rPr>
          <w:rFonts w:ascii="Arial" w:eastAsia="Times New Roman" w:hAnsi="Arial"/>
          <w:sz w:val="20"/>
          <w:szCs w:val="20"/>
          <w:lang w:eastAsia="nl-NL"/>
        </w:rPr>
      </w:pPr>
      <w:r w:rsidRPr="00322EF7">
        <w:rPr>
          <w:rFonts w:ascii="Arial" w:eastAsia="Times New Roman" w:hAnsi="Arial"/>
          <w:sz w:val="20"/>
          <w:szCs w:val="20"/>
          <w:lang w:eastAsia="nl-NL"/>
        </w:rPr>
        <w:t xml:space="preserve">Naast de formele publicatie, </w:t>
      </w:r>
      <w:r w:rsidR="003C2D2E">
        <w:rPr>
          <w:rFonts w:ascii="Arial" w:eastAsia="Times New Roman" w:hAnsi="Arial"/>
          <w:sz w:val="20"/>
          <w:szCs w:val="20"/>
          <w:lang w:eastAsia="nl-NL"/>
        </w:rPr>
        <w:t xml:space="preserve">worden </w:t>
      </w:r>
      <w:r w:rsidRPr="00322EF7">
        <w:rPr>
          <w:rFonts w:ascii="Arial" w:eastAsia="Times New Roman" w:hAnsi="Arial"/>
          <w:sz w:val="20"/>
          <w:szCs w:val="20"/>
          <w:lang w:eastAsia="nl-NL"/>
        </w:rPr>
        <w:t xml:space="preserve">partijen die persoonlijk geïnformeerd zijn over de lopende beroepstermijn opnieuw </w:t>
      </w:r>
      <w:r w:rsidR="007F3739">
        <w:rPr>
          <w:rFonts w:ascii="Arial" w:eastAsia="Times New Roman" w:hAnsi="Arial"/>
          <w:sz w:val="20"/>
          <w:szCs w:val="20"/>
          <w:lang w:eastAsia="nl-NL"/>
        </w:rPr>
        <w:t>geïnformeerd</w:t>
      </w:r>
      <w:r w:rsidRPr="00322EF7">
        <w:rPr>
          <w:rFonts w:ascii="Arial" w:eastAsia="Times New Roman" w:hAnsi="Arial"/>
          <w:sz w:val="20"/>
          <w:szCs w:val="20"/>
          <w:lang w:eastAsia="nl-NL"/>
        </w:rPr>
        <w:t xml:space="preserve"> over de nieuwe beroepstermijn. Ook de eigenaren van gronden die zich in de betrokken zones bevinden krijgen bericht.</w:t>
      </w:r>
      <w:r w:rsidR="00FB1061">
        <w:rPr>
          <w:rFonts w:ascii="Arial" w:eastAsia="Times New Roman" w:hAnsi="Arial"/>
          <w:sz w:val="20"/>
          <w:szCs w:val="20"/>
          <w:lang w:eastAsia="nl-NL"/>
        </w:rPr>
        <w:t xml:space="preserve"> De Raad van State is</w:t>
      </w:r>
      <w:r>
        <w:rPr>
          <w:rFonts w:ascii="Arial" w:eastAsia="Times New Roman" w:hAnsi="Arial"/>
          <w:sz w:val="20"/>
          <w:szCs w:val="20"/>
          <w:lang w:eastAsia="nl-NL"/>
        </w:rPr>
        <w:t xml:space="preserve"> geïnformeerd</w:t>
      </w:r>
      <w:r w:rsidR="003C2D2E">
        <w:rPr>
          <w:rFonts w:ascii="Arial" w:eastAsia="Times New Roman" w:hAnsi="Arial"/>
          <w:sz w:val="20"/>
          <w:szCs w:val="20"/>
          <w:lang w:eastAsia="nl-NL"/>
        </w:rPr>
        <w:t xml:space="preserve"> over de rectificatie en de nieuwe beroepstermijn.</w:t>
      </w:r>
    </w:p>
    <w:p w:rsidR="00322EF7" w:rsidRPr="00322EF7" w:rsidRDefault="00322EF7" w:rsidP="00322EF7">
      <w:pPr>
        <w:pStyle w:val="Tekstzonderopmaak"/>
        <w:ind w:left="720"/>
        <w:rPr>
          <w:rFonts w:ascii="Arial" w:eastAsia="Times New Roman" w:hAnsi="Arial"/>
          <w:sz w:val="20"/>
          <w:szCs w:val="20"/>
          <w:lang w:eastAsia="nl-NL"/>
        </w:rPr>
      </w:pPr>
    </w:p>
    <w:p w:rsidR="00322EF7" w:rsidRDefault="00322EF7" w:rsidP="00322EF7">
      <w:pPr>
        <w:pStyle w:val="Tekstzonderopmaak"/>
        <w:rPr>
          <w:rFonts w:ascii="Arial" w:eastAsia="Times New Roman" w:hAnsi="Arial"/>
          <w:sz w:val="20"/>
          <w:szCs w:val="20"/>
          <w:lang w:eastAsia="nl-NL"/>
        </w:rPr>
      </w:pPr>
      <w:r w:rsidRPr="00322EF7">
        <w:rPr>
          <w:rFonts w:ascii="Arial" w:eastAsia="Times New Roman" w:hAnsi="Arial"/>
          <w:sz w:val="20"/>
          <w:szCs w:val="20"/>
          <w:lang w:eastAsia="nl-NL"/>
        </w:rPr>
        <w:t>Het waterschap stemt in</w:t>
      </w:r>
      <w:r w:rsidR="00B57A35">
        <w:rPr>
          <w:rFonts w:ascii="Arial" w:eastAsia="Times New Roman" w:hAnsi="Arial"/>
          <w:sz w:val="20"/>
          <w:szCs w:val="20"/>
          <w:lang w:eastAsia="nl-NL"/>
        </w:rPr>
        <w:t xml:space="preserve"> met de voorgestelde oplossing, die door het JKC wordt ondersteund.</w:t>
      </w:r>
    </w:p>
    <w:p w:rsidR="00536C49" w:rsidRDefault="00536C49" w:rsidP="00322EF7">
      <w:pPr>
        <w:pStyle w:val="Tekstzonderopmaak"/>
        <w:rPr>
          <w:rFonts w:ascii="Arial" w:eastAsia="Times New Roman" w:hAnsi="Arial"/>
          <w:sz w:val="20"/>
          <w:szCs w:val="20"/>
          <w:lang w:eastAsia="nl-NL"/>
        </w:rPr>
      </w:pPr>
    </w:p>
    <w:p w:rsidR="00536C49" w:rsidRDefault="00536C49" w:rsidP="00322EF7">
      <w:pPr>
        <w:pStyle w:val="Tekstzonderopmaak"/>
        <w:rPr>
          <w:rFonts w:ascii="Arial" w:eastAsia="Times New Roman" w:hAnsi="Arial"/>
          <w:sz w:val="20"/>
          <w:szCs w:val="20"/>
          <w:lang w:eastAsia="nl-NL"/>
        </w:rPr>
      </w:pPr>
      <w:r>
        <w:rPr>
          <w:rFonts w:ascii="Arial" w:eastAsia="Times New Roman" w:hAnsi="Arial"/>
          <w:sz w:val="20"/>
          <w:szCs w:val="20"/>
          <w:lang w:eastAsia="nl-NL"/>
        </w:rPr>
        <w:t>Bijgaand treft u de nieuwe bekendmaking</w:t>
      </w:r>
      <w:r w:rsidR="007F3739">
        <w:rPr>
          <w:rFonts w:ascii="Arial" w:eastAsia="Times New Roman" w:hAnsi="Arial"/>
          <w:sz w:val="20"/>
          <w:szCs w:val="20"/>
          <w:lang w:eastAsia="nl-NL"/>
        </w:rPr>
        <w:t xml:space="preserve"> aan</w:t>
      </w:r>
      <w:r>
        <w:rPr>
          <w:rFonts w:ascii="Arial" w:eastAsia="Times New Roman" w:hAnsi="Arial"/>
          <w:sz w:val="20"/>
          <w:szCs w:val="20"/>
          <w:lang w:eastAsia="nl-NL"/>
        </w:rPr>
        <w:t>.</w:t>
      </w:r>
    </w:p>
    <w:p w:rsidR="00536C49" w:rsidRDefault="00536C49" w:rsidP="00322EF7">
      <w:pPr>
        <w:pStyle w:val="Tekstzonderopmaak"/>
        <w:rPr>
          <w:rFonts w:ascii="Arial" w:eastAsia="Times New Roman" w:hAnsi="Arial"/>
          <w:sz w:val="20"/>
          <w:szCs w:val="20"/>
          <w:lang w:eastAsia="nl-NL"/>
        </w:rPr>
      </w:pPr>
    </w:p>
    <w:p w:rsidR="00536C49" w:rsidRDefault="00536C49" w:rsidP="00322EF7">
      <w:pPr>
        <w:pStyle w:val="Tekstzonderopmaak"/>
        <w:rPr>
          <w:rFonts w:ascii="Arial" w:eastAsia="Times New Roman" w:hAnsi="Arial"/>
          <w:sz w:val="20"/>
          <w:szCs w:val="20"/>
          <w:lang w:eastAsia="nl-NL"/>
        </w:rPr>
      </w:pPr>
    </w:p>
    <w:p w:rsidR="00536C49" w:rsidRDefault="00536C49" w:rsidP="00322EF7">
      <w:pPr>
        <w:pStyle w:val="Tekstzonderopmaak"/>
        <w:rPr>
          <w:rFonts w:ascii="Arial" w:eastAsia="Times New Roman" w:hAnsi="Arial"/>
          <w:sz w:val="20"/>
          <w:szCs w:val="20"/>
          <w:lang w:eastAsia="nl-NL"/>
        </w:rPr>
      </w:pPr>
    </w:p>
    <w:p w:rsidR="00536C49" w:rsidRDefault="00536C49" w:rsidP="00322EF7">
      <w:pPr>
        <w:pStyle w:val="Tekstzonderopmaak"/>
        <w:rPr>
          <w:rFonts w:ascii="Arial" w:eastAsia="Times New Roman" w:hAnsi="Arial"/>
          <w:sz w:val="20"/>
          <w:szCs w:val="20"/>
          <w:lang w:eastAsia="nl-NL"/>
        </w:rPr>
      </w:pPr>
      <w:r>
        <w:rPr>
          <w:rFonts w:ascii="Arial" w:eastAsia="Times New Roman" w:hAnsi="Arial"/>
          <w:sz w:val="20"/>
          <w:szCs w:val="20"/>
          <w:lang w:eastAsia="nl-NL"/>
        </w:rPr>
        <w:t>Bijlage: be</w:t>
      </w:r>
      <w:r w:rsidR="00025361">
        <w:rPr>
          <w:rFonts w:ascii="Arial" w:eastAsia="Times New Roman" w:hAnsi="Arial"/>
          <w:sz w:val="20"/>
          <w:szCs w:val="20"/>
          <w:lang w:eastAsia="nl-NL"/>
        </w:rPr>
        <w:t>kendmaking</w:t>
      </w:r>
    </w:p>
    <w:p w:rsidR="00B57A35" w:rsidRPr="00322EF7" w:rsidRDefault="00B57A35" w:rsidP="00322EF7">
      <w:pPr>
        <w:pStyle w:val="Tekstzonderopmaak"/>
        <w:rPr>
          <w:rFonts w:ascii="Arial" w:eastAsia="Times New Roman" w:hAnsi="Arial"/>
          <w:sz w:val="20"/>
          <w:szCs w:val="20"/>
          <w:lang w:eastAsia="nl-NL"/>
        </w:rPr>
      </w:pPr>
    </w:p>
    <w:p w:rsidR="006B47E1" w:rsidRPr="00322EF7" w:rsidRDefault="006B47E1">
      <w:pPr>
        <w:rPr>
          <w:rFonts w:ascii="Arial" w:hAnsi="Arial"/>
        </w:rPr>
      </w:pPr>
    </w:p>
    <w:p w:rsidR="006B47E1" w:rsidRPr="00322EF7" w:rsidRDefault="006B47E1">
      <w:pPr>
        <w:rPr>
          <w:rFonts w:ascii="Arial" w:hAnsi="Arial"/>
        </w:rPr>
      </w:pPr>
    </w:p>
    <w:p w:rsidR="006B47E1" w:rsidRPr="00322EF7" w:rsidRDefault="003C2D2E">
      <w:pPr>
        <w:tabs>
          <w:tab w:val="left" w:pos="2268"/>
          <w:tab w:val="left" w:pos="5103"/>
          <w:tab w:val="left" w:pos="7371"/>
        </w:tabs>
        <w:rPr>
          <w:rFonts w:ascii="Arial" w:hAnsi="Arial"/>
        </w:rPr>
      </w:pPr>
      <w:r w:rsidRPr="00322EF7">
        <w:rPr>
          <w:rFonts w:ascii="Arial" w:hAnsi="Arial"/>
        </w:rPr>
        <w:tab/>
      </w:r>
    </w:p>
    <w:p w:rsidR="00322EF7" w:rsidRPr="00322EF7" w:rsidRDefault="00322EF7">
      <w:pPr>
        <w:rPr>
          <w:rFonts w:ascii="Arial" w:hAnsi="Arial"/>
        </w:rPr>
      </w:pPr>
    </w:p>
    <w:sectPr w:rsidR="00322EF7" w:rsidRPr="00322EF7">
      <w:pgSz w:w="11906" w:h="16838"/>
      <w:pgMar w:top="1531" w:right="1701"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1669E"/>
    <w:multiLevelType w:val="hybridMultilevel"/>
    <w:tmpl w:val="6688DFCC"/>
    <w:lvl w:ilvl="0" w:tplc="2A2C4C52">
      <w:start w:val="1"/>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DC8401A"/>
    <w:multiLevelType w:val="hybridMultilevel"/>
    <w:tmpl w:val="A5AC67E8"/>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2EF7"/>
    <w:rsid w:val="00025361"/>
    <w:rsid w:val="000A0B85"/>
    <w:rsid w:val="000B52AC"/>
    <w:rsid w:val="00322EF7"/>
    <w:rsid w:val="003904E9"/>
    <w:rsid w:val="003C2D2E"/>
    <w:rsid w:val="00536C49"/>
    <w:rsid w:val="0054713F"/>
    <w:rsid w:val="006B47E1"/>
    <w:rsid w:val="007F3739"/>
    <w:rsid w:val="00B57A35"/>
    <w:rsid w:val="00FB10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87321B-75C4-4F40-9748-E9A15994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322EF7"/>
    <w:rPr>
      <w:rFonts w:ascii="Calibri" w:eastAsia="Calibri" w:hAnsi="Calibri"/>
      <w:sz w:val="22"/>
      <w:szCs w:val="22"/>
      <w:lang w:eastAsia="en-US"/>
    </w:rPr>
  </w:style>
  <w:style w:type="character" w:customStyle="1" w:styleId="TekstzonderopmaakChar">
    <w:name w:val="Tekst zonder opmaak Char"/>
    <w:basedOn w:val="Standaardalinea-lettertype"/>
    <w:link w:val="Tekstzonderopmaak"/>
    <w:uiPriority w:val="99"/>
    <w:semiHidden/>
    <w:rsid w:val="00322EF7"/>
    <w:rPr>
      <w:rFonts w:ascii="Calibri" w:eastAsia="Calibri" w:hAnsi="Calibri"/>
      <w:sz w:val="22"/>
      <w:szCs w:val="22"/>
      <w:lang w:eastAsia="en-US"/>
    </w:rPr>
  </w:style>
  <w:style w:type="paragraph" w:styleId="Ballontekst">
    <w:name w:val="Balloon Text"/>
    <w:basedOn w:val="Standaard"/>
    <w:link w:val="BallontekstChar"/>
    <w:uiPriority w:val="99"/>
    <w:semiHidden/>
    <w:unhideWhenUsed/>
    <w:rsid w:val="0002536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5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1393">
      <w:bodyDiv w:val="1"/>
      <w:marLeft w:val="0"/>
      <w:marRight w:val="0"/>
      <w:marTop w:val="0"/>
      <w:marBottom w:val="0"/>
      <w:divBdr>
        <w:top w:val="none" w:sz="0" w:space="0" w:color="auto"/>
        <w:left w:val="none" w:sz="0" w:space="0" w:color="auto"/>
        <w:bottom w:val="none" w:sz="0" w:space="0" w:color="auto"/>
        <w:right w:val="none" w:sz="0" w:space="0" w:color="auto"/>
      </w:divBdr>
    </w:div>
    <w:div w:id="137553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albl_memo</Template>
  <TotalTime>120</TotalTime>
  <Pages>2</Pages>
  <Words>476</Words>
  <Characters>2624</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Corbeau, CM</dc:creator>
  <cp:keywords/>
  <cp:lastModifiedBy>Corbeau, CM</cp:lastModifiedBy>
  <cp:revision>9</cp:revision>
  <cp:lastPrinted>2017-07-21T06:13:00Z</cp:lastPrinted>
  <dcterms:created xsi:type="dcterms:W3CDTF">2017-06-21T08:44:00Z</dcterms:created>
  <dcterms:modified xsi:type="dcterms:W3CDTF">2017-07-21T06:26:00Z</dcterms:modified>
</cp:coreProperties>
</file>