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6C" w:rsidRPr="00175F4D" w:rsidRDefault="0015012F" w:rsidP="002F296C">
      <w:pPr>
        <w:pStyle w:val="Normaalweb"/>
        <w:spacing w:before="200" w:beforeAutospacing="0" w:after="0" w:afterAutospacing="0" w:line="216" w:lineRule="auto"/>
        <w:rPr>
          <w:rFonts w:ascii="American Typewriter" w:eastAsiaTheme="minorEastAsia" w:hAnsi="American Typewriter" w:cstheme="minorBidi"/>
          <w:b/>
          <w:bCs/>
          <w:color w:val="0070C0"/>
          <w:kern w:val="24"/>
          <w:sz w:val="32"/>
          <w:szCs w:val="32"/>
        </w:rPr>
      </w:pPr>
      <w:bookmarkStart w:id="0" w:name="_GoBack"/>
      <w:bookmarkEnd w:id="0"/>
      <w:r w:rsidRPr="00175F4D">
        <w:rPr>
          <w:rFonts w:ascii="American Typewriter" w:eastAsiaTheme="minorEastAsia" w:hAnsi="American Typewriter" w:cstheme="minorBidi"/>
          <w:b/>
          <w:bCs/>
          <w:color w:val="0070C0"/>
          <w:kern w:val="24"/>
          <w:sz w:val="32"/>
          <w:szCs w:val="32"/>
        </w:rPr>
        <w:t xml:space="preserve">Plan </w:t>
      </w:r>
      <w:proofErr w:type="spellStart"/>
      <w:r w:rsidRPr="00175F4D">
        <w:rPr>
          <w:rFonts w:ascii="American Typewriter" w:eastAsiaTheme="minorEastAsia" w:hAnsi="American Typewriter" w:cstheme="minorBidi"/>
          <w:b/>
          <w:bCs/>
          <w:color w:val="0070C0"/>
          <w:kern w:val="24"/>
          <w:sz w:val="32"/>
          <w:szCs w:val="32"/>
        </w:rPr>
        <w:t>Mercon</w:t>
      </w:r>
      <w:proofErr w:type="spellEnd"/>
      <w:r w:rsidRPr="00175F4D">
        <w:rPr>
          <w:rFonts w:ascii="American Typewriter" w:eastAsiaTheme="minorEastAsia" w:hAnsi="American Typewriter" w:cstheme="minorBidi"/>
          <w:b/>
          <w:bCs/>
          <w:color w:val="0070C0"/>
          <w:kern w:val="24"/>
          <w:sz w:val="32"/>
          <w:szCs w:val="32"/>
        </w:rPr>
        <w:t xml:space="preserve">-Kloos afgezet tegen </w:t>
      </w:r>
      <w:r w:rsidR="002F296C" w:rsidRPr="00175F4D">
        <w:rPr>
          <w:rFonts w:ascii="American Typewriter" w:eastAsiaTheme="minorEastAsia" w:hAnsi="American Typewriter" w:cstheme="minorBidi"/>
          <w:b/>
          <w:bCs/>
          <w:color w:val="0070C0"/>
          <w:kern w:val="24"/>
          <w:sz w:val="32"/>
          <w:szCs w:val="32"/>
        </w:rPr>
        <w:t xml:space="preserve">regionale </w:t>
      </w:r>
      <w:r w:rsidRPr="00175F4D">
        <w:rPr>
          <w:rFonts w:ascii="American Typewriter" w:eastAsiaTheme="minorEastAsia" w:hAnsi="American Typewriter" w:cstheme="minorBidi"/>
          <w:b/>
          <w:bCs/>
          <w:color w:val="0070C0"/>
          <w:kern w:val="24"/>
          <w:sz w:val="32"/>
          <w:szCs w:val="32"/>
        </w:rPr>
        <w:t>Woonvisie 2017 - 2031</w:t>
      </w:r>
    </w:p>
    <w:p w:rsidR="00A11176" w:rsidRDefault="00A11176" w:rsidP="002F296C">
      <w:pPr>
        <w:pStyle w:val="Normaalweb"/>
        <w:spacing w:before="200" w:beforeAutospacing="0" w:after="0" w:afterAutospacing="0" w:line="216" w:lineRule="auto"/>
        <w:rPr>
          <w:rFonts w:asciiTheme="minorHAnsi" w:eastAsiaTheme="minorEastAsia" w:hAnsiTheme="minorHAnsi" w:cs="Arial"/>
          <w:bCs/>
          <w:kern w:val="24"/>
          <w:sz w:val="20"/>
          <w:szCs w:val="20"/>
        </w:rPr>
      </w:pPr>
    </w:p>
    <w:p w:rsidR="00A11176" w:rsidRPr="00A11176" w:rsidRDefault="00A11176" w:rsidP="00E14A9F">
      <w:pPr>
        <w:pStyle w:val="Tekstzonderopmaak"/>
        <w:rPr>
          <w:sz w:val="20"/>
          <w:szCs w:val="20"/>
        </w:rPr>
      </w:pPr>
      <w:r w:rsidRPr="00A11176">
        <w:rPr>
          <w:sz w:val="20"/>
          <w:szCs w:val="20"/>
        </w:rPr>
        <w:t xml:space="preserve">In </w:t>
      </w:r>
      <w:r w:rsidR="003A2502">
        <w:rPr>
          <w:sz w:val="20"/>
          <w:szCs w:val="20"/>
        </w:rPr>
        <w:t>het p</w:t>
      </w:r>
      <w:r w:rsidRPr="00A11176">
        <w:rPr>
          <w:sz w:val="20"/>
          <w:szCs w:val="20"/>
        </w:rPr>
        <w:t xml:space="preserve">lan </w:t>
      </w:r>
      <w:proofErr w:type="spellStart"/>
      <w:r w:rsidRPr="00A11176">
        <w:rPr>
          <w:sz w:val="20"/>
          <w:szCs w:val="20"/>
        </w:rPr>
        <w:t>Mercon</w:t>
      </w:r>
      <w:proofErr w:type="spellEnd"/>
      <w:r w:rsidRPr="00A11176">
        <w:rPr>
          <w:sz w:val="20"/>
          <w:szCs w:val="20"/>
        </w:rPr>
        <w:t xml:space="preserve">-Kloos </w:t>
      </w:r>
      <w:r w:rsidR="003A2502">
        <w:rPr>
          <w:sz w:val="20"/>
          <w:szCs w:val="20"/>
        </w:rPr>
        <w:t xml:space="preserve">zien </w:t>
      </w:r>
      <w:r w:rsidRPr="00A11176">
        <w:rPr>
          <w:sz w:val="20"/>
          <w:szCs w:val="20"/>
        </w:rPr>
        <w:t xml:space="preserve">we </w:t>
      </w:r>
      <w:r w:rsidR="005E47C0">
        <w:rPr>
          <w:sz w:val="20"/>
          <w:szCs w:val="20"/>
        </w:rPr>
        <w:t xml:space="preserve">op basis </w:t>
      </w:r>
      <w:r w:rsidR="003A2502">
        <w:rPr>
          <w:sz w:val="20"/>
          <w:szCs w:val="20"/>
        </w:rPr>
        <w:t xml:space="preserve">van het huidige plan </w:t>
      </w:r>
      <w:r w:rsidRPr="00A11176">
        <w:rPr>
          <w:sz w:val="20"/>
          <w:szCs w:val="20"/>
        </w:rPr>
        <w:t>de volgende verdeling over de verschillende woning</w:t>
      </w:r>
      <w:r w:rsidR="003A2502">
        <w:rPr>
          <w:sz w:val="20"/>
          <w:szCs w:val="20"/>
        </w:rPr>
        <w:t>categorieën</w:t>
      </w:r>
      <w:r w:rsidR="005E47C0">
        <w:rPr>
          <w:sz w:val="20"/>
          <w:szCs w:val="20"/>
        </w:rPr>
        <w:t>:</w:t>
      </w:r>
    </w:p>
    <w:tbl>
      <w:tblPr>
        <w:tblpPr w:leftFromText="141" w:rightFromText="141" w:vertAnchor="text" w:horzAnchor="page" w:tblpX="6211" w:tblpY="279"/>
        <w:tblW w:w="5114" w:type="dxa"/>
        <w:tblCellMar>
          <w:left w:w="0" w:type="dxa"/>
          <w:right w:w="0" w:type="dxa"/>
        </w:tblCellMar>
        <w:tblLook w:val="0420" w:firstRow="1" w:lastRow="0" w:firstColumn="0" w:lastColumn="0" w:noHBand="0" w:noVBand="1"/>
      </w:tblPr>
      <w:tblGrid>
        <w:gridCol w:w="30"/>
        <w:gridCol w:w="1378"/>
        <w:gridCol w:w="30"/>
        <w:gridCol w:w="1246"/>
        <w:gridCol w:w="30"/>
        <w:gridCol w:w="1378"/>
        <w:gridCol w:w="30"/>
        <w:gridCol w:w="962"/>
        <w:gridCol w:w="30"/>
      </w:tblGrid>
      <w:tr w:rsidR="005E47C0" w:rsidRPr="0015012F" w:rsidTr="00E14A9F">
        <w:trPr>
          <w:gridAfter w:val="1"/>
          <w:wAfter w:w="30" w:type="dxa"/>
          <w:trHeight w:val="192"/>
        </w:trPr>
        <w:tc>
          <w:tcPr>
            <w:tcW w:w="1408" w:type="dxa"/>
            <w:gridSpan w:val="2"/>
            <w:tcBorders>
              <w:top w:val="single" w:sz="8" w:space="0" w:color="FFFFFF"/>
              <w:left w:val="single" w:sz="8" w:space="0" w:color="FFFFFF"/>
              <w:bottom w:val="single" w:sz="24" w:space="0" w:color="FFFFFF"/>
              <w:right w:val="single" w:sz="8" w:space="0" w:color="FFFFFF"/>
            </w:tcBorders>
            <w:shd w:val="clear" w:color="auto" w:fill="4472C4"/>
          </w:tcPr>
          <w:p w:rsidR="005E47C0" w:rsidRPr="005E47C0" w:rsidRDefault="003A2502" w:rsidP="00231AF0">
            <w:pPr>
              <w:spacing w:after="0" w:line="240" w:lineRule="auto"/>
              <w:jc w:val="right"/>
              <w:rPr>
                <w:rFonts w:ascii="Calibri" w:eastAsia="Times New Roman" w:hAnsi="Calibri" w:cs="Arial"/>
                <w:b/>
                <w:bCs/>
                <w:color w:val="FFFFFF" w:themeColor="light1"/>
                <w:kern w:val="24"/>
                <w:sz w:val="20"/>
                <w:szCs w:val="20"/>
                <w:lang w:eastAsia="nl-NL"/>
              </w:rPr>
            </w:pPr>
            <w:r>
              <w:rPr>
                <w:rFonts w:ascii="Calibri" w:eastAsia="Times New Roman" w:hAnsi="Calibri" w:cs="Arial"/>
                <w:b/>
                <w:bCs/>
                <w:color w:val="FFFFFF" w:themeColor="light1"/>
                <w:kern w:val="24"/>
                <w:sz w:val="20"/>
                <w:szCs w:val="20"/>
                <w:lang w:eastAsia="nl-NL"/>
              </w:rPr>
              <w:t>zorgwoningen</w:t>
            </w:r>
          </w:p>
        </w:tc>
        <w:tc>
          <w:tcPr>
            <w:tcW w:w="1276"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47C0" w:rsidRPr="0015012F" w:rsidRDefault="003A2502" w:rsidP="00231AF0">
            <w:pPr>
              <w:spacing w:after="0" w:line="240" w:lineRule="auto"/>
              <w:jc w:val="right"/>
              <w:rPr>
                <w:rFonts w:ascii="Arial" w:eastAsia="Times New Roman" w:hAnsi="Arial" w:cs="Arial"/>
                <w:sz w:val="20"/>
                <w:szCs w:val="20"/>
                <w:lang w:eastAsia="nl-NL"/>
              </w:rPr>
            </w:pPr>
            <w:r>
              <w:rPr>
                <w:rFonts w:ascii="Calibri" w:eastAsia="Times New Roman" w:hAnsi="Calibri" w:cs="Arial"/>
                <w:b/>
                <w:bCs/>
                <w:color w:val="FFFFFF" w:themeColor="light1"/>
                <w:kern w:val="24"/>
                <w:sz w:val="20"/>
                <w:szCs w:val="20"/>
                <w:lang w:eastAsia="nl-NL"/>
              </w:rPr>
              <w:t>ca. 250K</w:t>
            </w:r>
          </w:p>
        </w:tc>
        <w:tc>
          <w:tcPr>
            <w:tcW w:w="1408"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47C0" w:rsidRPr="0015012F" w:rsidRDefault="003A2502" w:rsidP="00231AF0">
            <w:pPr>
              <w:spacing w:after="0" w:line="240" w:lineRule="auto"/>
              <w:jc w:val="right"/>
              <w:rPr>
                <w:rFonts w:ascii="Arial" w:eastAsia="Times New Roman" w:hAnsi="Arial" w:cs="Arial"/>
                <w:sz w:val="20"/>
                <w:szCs w:val="20"/>
                <w:lang w:eastAsia="nl-NL"/>
              </w:rPr>
            </w:pPr>
            <w:r>
              <w:rPr>
                <w:rFonts w:ascii="Calibri" w:eastAsia="Times New Roman" w:hAnsi="Calibri" w:cs="Arial"/>
                <w:b/>
                <w:bCs/>
                <w:color w:val="FFFFFF" w:themeColor="light1"/>
                <w:kern w:val="24"/>
                <w:sz w:val="20"/>
                <w:szCs w:val="20"/>
                <w:lang w:eastAsia="nl-NL"/>
              </w:rPr>
              <w:t>250</w:t>
            </w:r>
            <w:r w:rsidR="005E47C0" w:rsidRPr="0015012F">
              <w:rPr>
                <w:rFonts w:ascii="Calibri" w:eastAsia="Times New Roman" w:hAnsi="Calibri" w:cs="Arial"/>
                <w:b/>
                <w:bCs/>
                <w:color w:val="FFFFFF" w:themeColor="light1"/>
                <w:kern w:val="24"/>
                <w:sz w:val="20"/>
                <w:szCs w:val="20"/>
                <w:lang w:eastAsia="nl-NL"/>
              </w:rPr>
              <w:t>K - 450K</w:t>
            </w:r>
          </w:p>
        </w:tc>
        <w:tc>
          <w:tcPr>
            <w:tcW w:w="992"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47C0" w:rsidRPr="0015012F" w:rsidRDefault="005E47C0"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b/>
                <w:bCs/>
                <w:color w:val="FFFFFF" w:themeColor="light1"/>
                <w:kern w:val="24"/>
                <w:sz w:val="20"/>
                <w:szCs w:val="20"/>
                <w:lang w:eastAsia="nl-NL"/>
              </w:rPr>
              <w:t>&gt; 450K</w:t>
            </w:r>
          </w:p>
        </w:tc>
      </w:tr>
      <w:tr w:rsidR="005E47C0" w:rsidRPr="0015012F" w:rsidTr="00E14A9F">
        <w:trPr>
          <w:gridBefore w:val="1"/>
          <w:wBefore w:w="30" w:type="dxa"/>
          <w:trHeight w:val="58"/>
        </w:trPr>
        <w:tc>
          <w:tcPr>
            <w:tcW w:w="1408" w:type="dxa"/>
            <w:gridSpan w:val="2"/>
            <w:tcBorders>
              <w:top w:val="single" w:sz="24" w:space="0" w:color="FFFFFF"/>
              <w:left w:val="single" w:sz="8" w:space="0" w:color="FFFFFF"/>
              <w:bottom w:val="single" w:sz="8" w:space="0" w:color="FFFFFF"/>
              <w:right w:val="single" w:sz="8" w:space="0" w:color="FFFFFF"/>
            </w:tcBorders>
            <w:shd w:val="clear" w:color="auto" w:fill="CFD5EA"/>
          </w:tcPr>
          <w:p w:rsidR="005E47C0" w:rsidRPr="005E47C0" w:rsidRDefault="003A2502" w:rsidP="00231AF0">
            <w:pPr>
              <w:spacing w:after="0" w:line="240" w:lineRule="auto"/>
              <w:jc w:val="right"/>
              <w:rPr>
                <w:rFonts w:ascii="Calibri" w:eastAsia="Times New Roman" w:hAnsi="Calibri" w:cs="Arial"/>
                <w:color w:val="000000" w:themeColor="dark1"/>
                <w:kern w:val="24"/>
                <w:sz w:val="20"/>
                <w:szCs w:val="20"/>
                <w:lang w:eastAsia="nl-NL"/>
              </w:rPr>
            </w:pPr>
            <w:r>
              <w:rPr>
                <w:rFonts w:ascii="Calibri" w:eastAsia="Times New Roman" w:hAnsi="Calibri" w:cs="Arial"/>
                <w:color w:val="000000" w:themeColor="dark1"/>
                <w:kern w:val="24"/>
                <w:sz w:val="20"/>
                <w:szCs w:val="20"/>
                <w:lang w:eastAsia="nl-NL"/>
              </w:rPr>
              <w:t>32 won.</w:t>
            </w:r>
          </w:p>
        </w:tc>
        <w:tc>
          <w:tcPr>
            <w:tcW w:w="1276"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47C0" w:rsidRPr="0015012F" w:rsidRDefault="003A2502" w:rsidP="00231AF0">
            <w:pPr>
              <w:spacing w:after="0" w:line="240" w:lineRule="auto"/>
              <w:jc w:val="right"/>
              <w:rPr>
                <w:rFonts w:ascii="Arial" w:eastAsia="Times New Roman" w:hAnsi="Arial" w:cs="Arial"/>
                <w:sz w:val="20"/>
                <w:szCs w:val="20"/>
                <w:lang w:eastAsia="nl-NL"/>
              </w:rPr>
            </w:pPr>
            <w:r>
              <w:rPr>
                <w:rFonts w:ascii="Calibri" w:eastAsia="Times New Roman" w:hAnsi="Calibri" w:cs="Arial"/>
                <w:color w:val="000000" w:themeColor="dark1"/>
                <w:kern w:val="24"/>
                <w:sz w:val="20"/>
                <w:szCs w:val="20"/>
                <w:lang w:eastAsia="nl-NL"/>
              </w:rPr>
              <w:t>152</w:t>
            </w:r>
            <w:r w:rsidR="005E47C0" w:rsidRPr="0015012F">
              <w:rPr>
                <w:rFonts w:ascii="Calibri" w:eastAsia="Times New Roman" w:hAnsi="Calibri" w:cs="Arial"/>
                <w:color w:val="000000" w:themeColor="dark1"/>
                <w:kern w:val="24"/>
                <w:sz w:val="20"/>
                <w:szCs w:val="20"/>
                <w:lang w:eastAsia="nl-NL"/>
              </w:rPr>
              <w:t xml:space="preserve"> won.</w:t>
            </w:r>
          </w:p>
        </w:tc>
        <w:tc>
          <w:tcPr>
            <w:tcW w:w="1408"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47C0" w:rsidRPr="0015012F" w:rsidRDefault="005E47C0"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color w:val="000000" w:themeColor="dark1"/>
                <w:kern w:val="24"/>
                <w:sz w:val="20"/>
                <w:szCs w:val="20"/>
                <w:lang w:eastAsia="nl-NL"/>
              </w:rPr>
              <w:t>43 won.</w:t>
            </w:r>
          </w:p>
        </w:tc>
        <w:tc>
          <w:tcPr>
            <w:tcW w:w="992"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47C0" w:rsidRPr="0015012F" w:rsidRDefault="005E47C0"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color w:val="000000" w:themeColor="dark1"/>
                <w:kern w:val="24"/>
                <w:sz w:val="20"/>
                <w:szCs w:val="20"/>
                <w:lang w:eastAsia="nl-NL"/>
              </w:rPr>
              <w:t>31 won.</w:t>
            </w:r>
          </w:p>
        </w:tc>
      </w:tr>
      <w:tr w:rsidR="005E47C0" w:rsidRPr="0015012F" w:rsidTr="00E14A9F">
        <w:trPr>
          <w:gridBefore w:val="1"/>
          <w:wBefore w:w="30" w:type="dxa"/>
          <w:trHeight w:val="218"/>
        </w:trPr>
        <w:tc>
          <w:tcPr>
            <w:tcW w:w="1408" w:type="dxa"/>
            <w:gridSpan w:val="2"/>
            <w:tcBorders>
              <w:top w:val="single" w:sz="8" w:space="0" w:color="FFFFFF"/>
              <w:left w:val="single" w:sz="8" w:space="0" w:color="FFFFFF"/>
              <w:bottom w:val="single" w:sz="8" w:space="0" w:color="FFFFFF"/>
              <w:right w:val="single" w:sz="8" w:space="0" w:color="FFFFFF"/>
            </w:tcBorders>
            <w:shd w:val="clear" w:color="auto" w:fill="E9EBF5"/>
          </w:tcPr>
          <w:p w:rsidR="005E47C0" w:rsidRPr="005E47C0" w:rsidRDefault="003A2502" w:rsidP="00231AF0">
            <w:pPr>
              <w:spacing w:after="0" w:line="240" w:lineRule="auto"/>
              <w:jc w:val="right"/>
              <w:rPr>
                <w:rFonts w:ascii="Calibri" w:eastAsia="Times New Roman" w:hAnsi="Calibri" w:cs="Arial"/>
                <w:color w:val="000000" w:themeColor="dark1"/>
                <w:kern w:val="24"/>
                <w:sz w:val="20"/>
                <w:szCs w:val="20"/>
                <w:lang w:eastAsia="nl-NL"/>
              </w:rPr>
            </w:pPr>
            <w:r>
              <w:rPr>
                <w:rFonts w:ascii="Calibri" w:eastAsia="Times New Roman" w:hAnsi="Calibri" w:cs="Arial"/>
                <w:color w:val="000000" w:themeColor="dark1"/>
                <w:kern w:val="24"/>
                <w:sz w:val="20"/>
                <w:szCs w:val="20"/>
                <w:lang w:eastAsia="nl-NL"/>
              </w:rPr>
              <w:t>12%</w:t>
            </w:r>
          </w:p>
        </w:tc>
        <w:tc>
          <w:tcPr>
            <w:tcW w:w="1276"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E47C0" w:rsidRPr="0015012F" w:rsidRDefault="003A2502" w:rsidP="00231AF0">
            <w:pPr>
              <w:spacing w:after="0" w:line="240" w:lineRule="auto"/>
              <w:jc w:val="right"/>
              <w:rPr>
                <w:rFonts w:ascii="Arial" w:eastAsia="Times New Roman" w:hAnsi="Arial" w:cs="Arial"/>
                <w:sz w:val="20"/>
                <w:szCs w:val="20"/>
                <w:lang w:eastAsia="nl-NL"/>
              </w:rPr>
            </w:pPr>
            <w:r>
              <w:rPr>
                <w:rFonts w:ascii="Calibri" w:eastAsia="Times New Roman" w:hAnsi="Calibri" w:cs="Arial"/>
                <w:color w:val="000000" w:themeColor="dark1"/>
                <w:kern w:val="24"/>
                <w:sz w:val="20"/>
                <w:szCs w:val="20"/>
                <w:lang w:eastAsia="nl-NL"/>
              </w:rPr>
              <w:t>59</w:t>
            </w:r>
            <w:r w:rsidR="005E47C0" w:rsidRPr="0015012F">
              <w:rPr>
                <w:rFonts w:ascii="Calibri" w:eastAsia="Times New Roman" w:hAnsi="Calibri" w:cs="Arial"/>
                <w:color w:val="000000" w:themeColor="dark1"/>
                <w:kern w:val="24"/>
                <w:sz w:val="20"/>
                <w:szCs w:val="20"/>
                <w:lang w:eastAsia="nl-NL"/>
              </w:rPr>
              <w:t>%</w:t>
            </w:r>
          </w:p>
        </w:tc>
        <w:tc>
          <w:tcPr>
            <w:tcW w:w="1408"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E47C0" w:rsidRPr="0015012F" w:rsidRDefault="003A2502" w:rsidP="00231AF0">
            <w:pPr>
              <w:spacing w:after="0" w:line="240" w:lineRule="auto"/>
              <w:jc w:val="right"/>
              <w:rPr>
                <w:rFonts w:ascii="Arial" w:eastAsia="Times New Roman" w:hAnsi="Arial" w:cs="Arial"/>
                <w:sz w:val="20"/>
                <w:szCs w:val="20"/>
                <w:lang w:eastAsia="nl-NL"/>
              </w:rPr>
            </w:pPr>
            <w:r>
              <w:rPr>
                <w:rFonts w:ascii="Calibri" w:eastAsia="Times New Roman" w:hAnsi="Calibri" w:cs="Arial"/>
                <w:color w:val="000000" w:themeColor="dark1"/>
                <w:kern w:val="24"/>
                <w:sz w:val="20"/>
                <w:szCs w:val="20"/>
                <w:lang w:eastAsia="nl-NL"/>
              </w:rPr>
              <w:t>17</w:t>
            </w:r>
            <w:r w:rsidR="005E47C0" w:rsidRPr="0015012F">
              <w:rPr>
                <w:rFonts w:ascii="Calibri" w:eastAsia="Times New Roman" w:hAnsi="Calibri" w:cs="Arial"/>
                <w:color w:val="000000" w:themeColor="dark1"/>
                <w:kern w:val="24"/>
                <w:sz w:val="20"/>
                <w:szCs w:val="20"/>
                <w:lang w:eastAsia="nl-NL"/>
              </w:rPr>
              <w:t>%</w:t>
            </w:r>
          </w:p>
        </w:tc>
        <w:tc>
          <w:tcPr>
            <w:tcW w:w="992" w:type="dxa"/>
            <w:gridSpan w:val="2"/>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E47C0" w:rsidRPr="0015012F" w:rsidRDefault="005E47C0"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color w:val="000000" w:themeColor="dark1"/>
                <w:kern w:val="24"/>
                <w:sz w:val="20"/>
                <w:szCs w:val="20"/>
                <w:lang w:eastAsia="nl-NL"/>
              </w:rPr>
              <w:t>12%</w:t>
            </w:r>
          </w:p>
        </w:tc>
      </w:tr>
    </w:tbl>
    <w:p w:rsidR="00A11176" w:rsidRDefault="00A11176" w:rsidP="00A11176">
      <w:pPr>
        <w:pStyle w:val="Tekstzonderopmaak"/>
        <w:ind w:left="708"/>
      </w:pPr>
    </w:p>
    <w:tbl>
      <w:tblPr>
        <w:tblW w:w="3540" w:type="dxa"/>
        <w:tblInd w:w="-154" w:type="dxa"/>
        <w:tblCellMar>
          <w:left w:w="0" w:type="dxa"/>
          <w:right w:w="0" w:type="dxa"/>
        </w:tblCellMar>
        <w:tblLook w:val="0420" w:firstRow="1" w:lastRow="0" w:firstColumn="0" w:lastColumn="0" w:noHBand="0" w:noVBand="1"/>
      </w:tblPr>
      <w:tblGrid>
        <w:gridCol w:w="1928"/>
        <w:gridCol w:w="1612"/>
      </w:tblGrid>
      <w:tr w:rsidR="00A11176" w:rsidRPr="0015012F" w:rsidTr="00E14A9F">
        <w:trPr>
          <w:trHeight w:val="18"/>
        </w:trPr>
        <w:tc>
          <w:tcPr>
            <w:tcW w:w="192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A11176" w:rsidRPr="0015012F" w:rsidRDefault="00A11176" w:rsidP="00231AF0">
            <w:pPr>
              <w:spacing w:after="0" w:line="240" w:lineRule="auto"/>
              <w:jc w:val="right"/>
              <w:rPr>
                <w:rFonts w:ascii="Arial" w:eastAsia="Times New Roman" w:hAnsi="Arial" w:cs="Arial"/>
                <w:sz w:val="20"/>
                <w:szCs w:val="20"/>
                <w:lang w:eastAsia="nl-NL"/>
              </w:rPr>
            </w:pPr>
            <w:r w:rsidRPr="005E47C0">
              <w:rPr>
                <w:rFonts w:ascii="Calibri" w:eastAsia="Times New Roman" w:hAnsi="Calibri" w:cs="Arial"/>
                <w:b/>
                <w:bCs/>
                <w:color w:val="FFFFFF" w:themeColor="light1"/>
                <w:kern w:val="24"/>
                <w:sz w:val="20"/>
                <w:szCs w:val="20"/>
                <w:lang w:eastAsia="nl-NL"/>
              </w:rPr>
              <w:t>Eengezinswoningen</w:t>
            </w:r>
          </w:p>
        </w:tc>
        <w:tc>
          <w:tcPr>
            <w:tcW w:w="161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A11176" w:rsidRPr="0015012F" w:rsidRDefault="00A11176"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b/>
                <w:bCs/>
                <w:color w:val="FFFFFF" w:themeColor="light1"/>
                <w:kern w:val="24"/>
                <w:sz w:val="20"/>
                <w:szCs w:val="20"/>
                <w:lang w:eastAsia="nl-NL"/>
              </w:rPr>
              <w:t>Appartementen</w:t>
            </w:r>
          </w:p>
        </w:tc>
      </w:tr>
      <w:tr w:rsidR="00A11176" w:rsidRPr="0015012F" w:rsidTr="00E14A9F">
        <w:trPr>
          <w:trHeight w:val="23"/>
        </w:trPr>
        <w:tc>
          <w:tcPr>
            <w:tcW w:w="192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11176" w:rsidRPr="0015012F" w:rsidRDefault="00A11176"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color w:val="000000" w:themeColor="dark1"/>
                <w:kern w:val="24"/>
                <w:sz w:val="20"/>
                <w:szCs w:val="20"/>
                <w:lang w:eastAsia="nl-NL"/>
              </w:rPr>
              <w:t>60 won.</w:t>
            </w:r>
          </w:p>
        </w:tc>
        <w:tc>
          <w:tcPr>
            <w:tcW w:w="161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A11176" w:rsidRPr="0015012F" w:rsidRDefault="00A11176"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color w:val="000000" w:themeColor="dark1"/>
                <w:kern w:val="24"/>
                <w:sz w:val="20"/>
                <w:szCs w:val="20"/>
                <w:lang w:eastAsia="nl-NL"/>
              </w:rPr>
              <w:t>198 won.</w:t>
            </w:r>
          </w:p>
        </w:tc>
      </w:tr>
      <w:tr w:rsidR="00A11176" w:rsidRPr="0015012F" w:rsidTr="00E14A9F">
        <w:trPr>
          <w:trHeight w:val="203"/>
        </w:trPr>
        <w:tc>
          <w:tcPr>
            <w:tcW w:w="192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11176" w:rsidRPr="0015012F" w:rsidRDefault="00A11176" w:rsidP="00E14A9F">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color w:val="000000" w:themeColor="dark1"/>
                <w:kern w:val="24"/>
                <w:sz w:val="20"/>
                <w:szCs w:val="20"/>
                <w:lang w:eastAsia="nl-NL"/>
              </w:rPr>
              <w:t>23%</w:t>
            </w:r>
          </w:p>
        </w:tc>
        <w:tc>
          <w:tcPr>
            <w:tcW w:w="161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A11176" w:rsidRPr="0015012F" w:rsidRDefault="00A11176" w:rsidP="00231AF0">
            <w:pPr>
              <w:spacing w:after="0" w:line="240" w:lineRule="auto"/>
              <w:jc w:val="right"/>
              <w:rPr>
                <w:rFonts w:ascii="Arial" w:eastAsia="Times New Roman" w:hAnsi="Arial" w:cs="Arial"/>
                <w:sz w:val="20"/>
                <w:szCs w:val="20"/>
                <w:lang w:eastAsia="nl-NL"/>
              </w:rPr>
            </w:pPr>
            <w:r w:rsidRPr="0015012F">
              <w:rPr>
                <w:rFonts w:ascii="Calibri" w:eastAsia="Times New Roman" w:hAnsi="Calibri" w:cs="Arial"/>
                <w:color w:val="000000" w:themeColor="dark1"/>
                <w:kern w:val="24"/>
                <w:sz w:val="20"/>
                <w:szCs w:val="20"/>
                <w:lang w:eastAsia="nl-NL"/>
              </w:rPr>
              <w:t>77</w:t>
            </w:r>
            <w:r w:rsidRPr="0015012F">
              <w:rPr>
                <w:rFonts w:ascii="Calibri" w:eastAsia="Times New Roman" w:hAnsi="Calibri" w:cs="Arial"/>
                <w:color w:val="000000" w:themeColor="dark1"/>
                <w:kern w:val="24"/>
                <w:sz w:val="20"/>
                <w:szCs w:val="20"/>
                <w:lang w:val="en-US" w:eastAsia="nl-NL"/>
              </w:rPr>
              <w:t>%</w:t>
            </w:r>
          </w:p>
        </w:tc>
      </w:tr>
    </w:tbl>
    <w:p w:rsidR="002F7812" w:rsidRDefault="002F7812" w:rsidP="002F296C">
      <w:pPr>
        <w:pStyle w:val="Normaalweb"/>
        <w:spacing w:before="200" w:beforeAutospacing="0" w:after="0" w:afterAutospacing="0" w:line="216" w:lineRule="auto"/>
        <w:rPr>
          <w:rFonts w:asciiTheme="minorHAnsi" w:eastAsiaTheme="minorEastAsia" w:hAnsiTheme="minorHAnsi" w:cs="Arial"/>
          <w:bCs/>
          <w:kern w:val="24"/>
          <w:sz w:val="20"/>
          <w:szCs w:val="20"/>
        </w:rPr>
      </w:pPr>
    </w:p>
    <w:p w:rsidR="002F296C" w:rsidRPr="00175F4D" w:rsidRDefault="00922DF2" w:rsidP="002F296C">
      <w:pPr>
        <w:pStyle w:val="Normaalweb"/>
        <w:spacing w:before="200" w:beforeAutospacing="0" w:after="0" w:afterAutospacing="0" w:line="216" w:lineRule="auto"/>
        <w:rPr>
          <w:rFonts w:asciiTheme="minorHAnsi" w:hAnsiTheme="minorHAnsi"/>
          <w:sz w:val="20"/>
          <w:szCs w:val="20"/>
        </w:rPr>
      </w:pPr>
      <w:r w:rsidRPr="00175F4D">
        <w:rPr>
          <w:rFonts w:asciiTheme="minorHAnsi" w:eastAsiaTheme="minorEastAsia" w:hAnsiTheme="minorHAnsi" w:cs="Arial"/>
          <w:bCs/>
          <w:kern w:val="24"/>
          <w:sz w:val="20"/>
          <w:szCs w:val="20"/>
        </w:rPr>
        <w:t xml:space="preserve">In december 2017 is de </w:t>
      </w:r>
      <w:r w:rsidR="002F7812">
        <w:rPr>
          <w:rFonts w:asciiTheme="minorHAnsi" w:eastAsiaTheme="minorEastAsia" w:hAnsiTheme="minorHAnsi" w:cs="Arial"/>
          <w:bCs/>
          <w:kern w:val="24"/>
          <w:sz w:val="20"/>
          <w:szCs w:val="20"/>
        </w:rPr>
        <w:t xml:space="preserve">regionale woonvisie 2017 – 2031 </w:t>
      </w:r>
      <w:r w:rsidRPr="00175F4D">
        <w:rPr>
          <w:rFonts w:asciiTheme="minorHAnsi" w:eastAsiaTheme="minorEastAsia" w:hAnsiTheme="minorHAnsi" w:cs="Arial"/>
          <w:bCs/>
          <w:kern w:val="24"/>
          <w:sz w:val="20"/>
          <w:szCs w:val="20"/>
        </w:rPr>
        <w:t xml:space="preserve">"goed wonen in de Drechtsteden" vastgesteld. </w:t>
      </w:r>
      <w:r w:rsidRPr="00175F4D">
        <w:rPr>
          <w:rFonts w:asciiTheme="minorHAnsi" w:hAnsiTheme="minorHAnsi"/>
          <w:sz w:val="20"/>
          <w:szCs w:val="20"/>
        </w:rPr>
        <w:t xml:space="preserve">Het plan </w:t>
      </w:r>
      <w:proofErr w:type="spellStart"/>
      <w:r w:rsidRPr="00175F4D">
        <w:rPr>
          <w:rFonts w:asciiTheme="minorHAnsi" w:hAnsiTheme="minorHAnsi"/>
          <w:sz w:val="20"/>
          <w:szCs w:val="20"/>
        </w:rPr>
        <w:t>Mercon</w:t>
      </w:r>
      <w:proofErr w:type="spellEnd"/>
      <w:r w:rsidRPr="00175F4D">
        <w:rPr>
          <w:rFonts w:asciiTheme="minorHAnsi" w:hAnsiTheme="minorHAnsi"/>
          <w:sz w:val="20"/>
          <w:szCs w:val="20"/>
        </w:rPr>
        <w:t>-Kloos draagt met het realiseren van een kwalitatief hoogwaardig woonmilieu  op een unieke locatie niet alleen bij aan de lokale woningbeh</w:t>
      </w:r>
      <w:r w:rsidR="002F296C" w:rsidRPr="00175F4D">
        <w:rPr>
          <w:rFonts w:asciiTheme="minorHAnsi" w:hAnsiTheme="minorHAnsi"/>
          <w:sz w:val="20"/>
          <w:szCs w:val="20"/>
        </w:rPr>
        <w:t>oefte maar ook aan de regionale</w:t>
      </w:r>
      <w:r w:rsidR="00C364FF">
        <w:rPr>
          <w:rFonts w:asciiTheme="minorHAnsi" w:hAnsiTheme="minorHAnsi"/>
          <w:sz w:val="20"/>
          <w:szCs w:val="20"/>
        </w:rPr>
        <w:t xml:space="preserve"> behoefte en regionale groei-ambitie</w:t>
      </w:r>
      <w:r w:rsidR="002F296C" w:rsidRPr="00175F4D">
        <w:rPr>
          <w:rFonts w:asciiTheme="minorHAnsi" w:hAnsiTheme="minorHAnsi"/>
          <w:sz w:val="20"/>
          <w:szCs w:val="20"/>
        </w:rPr>
        <w:t>.</w:t>
      </w:r>
      <w:r w:rsidRPr="00175F4D">
        <w:rPr>
          <w:rFonts w:asciiTheme="minorHAnsi" w:hAnsiTheme="minorHAnsi"/>
          <w:sz w:val="20"/>
          <w:szCs w:val="20"/>
        </w:rPr>
        <w:t xml:space="preserve"> </w:t>
      </w:r>
      <w:r w:rsidR="002F296C" w:rsidRPr="00175F4D">
        <w:rPr>
          <w:rFonts w:asciiTheme="minorHAnsi" w:hAnsiTheme="minorHAnsi"/>
          <w:sz w:val="20"/>
          <w:szCs w:val="20"/>
        </w:rPr>
        <w:t xml:space="preserve">Er wordt een bijdrage </w:t>
      </w:r>
      <w:r w:rsidRPr="00175F4D">
        <w:rPr>
          <w:rFonts w:asciiTheme="minorHAnsi" w:hAnsiTheme="minorHAnsi"/>
          <w:sz w:val="20"/>
          <w:szCs w:val="20"/>
        </w:rPr>
        <w:t xml:space="preserve">geleverd aan </w:t>
      </w:r>
      <w:r w:rsidR="002F296C" w:rsidRPr="00175F4D">
        <w:rPr>
          <w:rFonts w:asciiTheme="minorHAnsi" w:hAnsiTheme="minorHAnsi"/>
          <w:sz w:val="20"/>
          <w:szCs w:val="20"/>
        </w:rPr>
        <w:t xml:space="preserve">onder andere </w:t>
      </w:r>
      <w:r w:rsidRPr="00175F4D">
        <w:rPr>
          <w:rFonts w:asciiTheme="minorHAnsi" w:hAnsiTheme="minorHAnsi"/>
          <w:sz w:val="20"/>
          <w:szCs w:val="20"/>
        </w:rPr>
        <w:t xml:space="preserve">de </w:t>
      </w:r>
      <w:r w:rsidR="002F296C" w:rsidRPr="00175F4D">
        <w:rPr>
          <w:rFonts w:asciiTheme="minorHAnsi" w:hAnsiTheme="minorHAnsi"/>
          <w:sz w:val="20"/>
          <w:szCs w:val="20"/>
        </w:rPr>
        <w:t xml:space="preserve">volgende </w:t>
      </w:r>
      <w:r w:rsidRPr="00175F4D">
        <w:rPr>
          <w:rFonts w:asciiTheme="minorHAnsi" w:hAnsiTheme="minorHAnsi"/>
          <w:sz w:val="20"/>
          <w:szCs w:val="20"/>
        </w:rPr>
        <w:t>kernpunten uit de regionale Woonvisie:</w:t>
      </w:r>
    </w:p>
    <w:p w:rsidR="00922DF2" w:rsidRPr="00175F4D" w:rsidRDefault="00922DF2" w:rsidP="002F296C">
      <w:pPr>
        <w:pStyle w:val="Tekstzonderopmaak"/>
        <w:numPr>
          <w:ilvl w:val="0"/>
          <w:numId w:val="1"/>
        </w:numPr>
        <w:rPr>
          <w:rFonts w:asciiTheme="minorHAnsi" w:hAnsiTheme="minorHAnsi"/>
          <w:sz w:val="20"/>
          <w:szCs w:val="20"/>
        </w:rPr>
      </w:pPr>
      <w:r w:rsidRPr="00175F4D">
        <w:rPr>
          <w:rFonts w:asciiTheme="minorHAnsi" w:hAnsiTheme="minorHAnsi"/>
          <w:sz w:val="20"/>
          <w:szCs w:val="20"/>
        </w:rPr>
        <w:t>Bij nieuwbouwplannen in de koopsector zorgen we voor voldoende aanbod in het duurdere segment (&gt; EUR 300.000).</w:t>
      </w:r>
    </w:p>
    <w:p w:rsidR="00922DF2" w:rsidRPr="00175F4D" w:rsidRDefault="00922DF2" w:rsidP="002F296C">
      <w:pPr>
        <w:pStyle w:val="Tekstzonderopmaak"/>
        <w:numPr>
          <w:ilvl w:val="0"/>
          <w:numId w:val="1"/>
        </w:numPr>
        <w:rPr>
          <w:rFonts w:asciiTheme="minorHAnsi" w:hAnsiTheme="minorHAnsi"/>
          <w:sz w:val="20"/>
          <w:szCs w:val="20"/>
        </w:rPr>
      </w:pPr>
      <w:r w:rsidRPr="00175F4D">
        <w:rPr>
          <w:rFonts w:asciiTheme="minorHAnsi" w:hAnsiTheme="minorHAnsi"/>
          <w:sz w:val="20"/>
          <w:szCs w:val="20"/>
        </w:rPr>
        <w:t>We zetten in op groei in het duurdere segment om een meer evenwichtig samengestelde bevolking te realiseren.</w:t>
      </w:r>
    </w:p>
    <w:p w:rsidR="00922DF2" w:rsidRPr="00175F4D" w:rsidRDefault="00922DF2" w:rsidP="002F296C">
      <w:pPr>
        <w:pStyle w:val="Tekstzonderopmaak"/>
        <w:numPr>
          <w:ilvl w:val="0"/>
          <w:numId w:val="1"/>
        </w:numPr>
        <w:rPr>
          <w:rFonts w:asciiTheme="minorHAnsi" w:hAnsiTheme="minorHAnsi"/>
          <w:sz w:val="20"/>
          <w:szCs w:val="20"/>
        </w:rPr>
      </w:pPr>
      <w:r w:rsidRPr="00175F4D">
        <w:rPr>
          <w:rFonts w:asciiTheme="minorHAnsi" w:hAnsiTheme="minorHAnsi"/>
          <w:sz w:val="20"/>
          <w:szCs w:val="20"/>
        </w:rPr>
        <w:t>De zeven gemeenten geven de bijdrage aan die zij aan de vraag naar onderscheidende woonmilieus leveren. NB.: er wordt ook aangegeven in de Woonvisie dat er grote kansen liggen bij de oeverlocaties.</w:t>
      </w:r>
    </w:p>
    <w:p w:rsidR="002F296C" w:rsidRPr="00175F4D" w:rsidRDefault="003A2502" w:rsidP="002F296C">
      <w:pPr>
        <w:pStyle w:val="Tekstzonderopmaak"/>
        <w:rPr>
          <w:rFonts w:asciiTheme="minorHAnsi" w:hAnsiTheme="minorHAnsi"/>
          <w:sz w:val="20"/>
          <w:szCs w:val="20"/>
        </w:rPr>
      </w:pPr>
      <w:r>
        <w:rPr>
          <w:noProof/>
          <w:lang w:eastAsia="nl-NL"/>
        </w:rPr>
        <w:drawing>
          <wp:anchor distT="0" distB="0" distL="114300" distR="114300" simplePos="0" relativeHeight="251658240" behindDoc="0" locked="0" layoutInCell="1" allowOverlap="1">
            <wp:simplePos x="0" y="0"/>
            <wp:positionH relativeFrom="margin">
              <wp:posOffset>3148330</wp:posOffset>
            </wp:positionH>
            <wp:positionV relativeFrom="paragraph">
              <wp:posOffset>139700</wp:posOffset>
            </wp:positionV>
            <wp:extent cx="2983865" cy="4286250"/>
            <wp:effectExtent l="0" t="0" r="6985" b="0"/>
            <wp:wrapSquare wrapText="bothSides"/>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5">
                      <a:extLst>
                        <a:ext uri="{28A0092B-C50C-407E-A947-70E740481C1C}">
                          <a14:useLocalDpi xmlns:a14="http://schemas.microsoft.com/office/drawing/2010/main" val="0"/>
                        </a:ext>
                      </a:extLst>
                    </a:blip>
                    <a:srcRect l="6880" t="26410" r="60851" b="15733"/>
                    <a:stretch/>
                  </pic:blipFill>
                  <pic:spPr bwMode="auto">
                    <a:xfrm>
                      <a:off x="0" y="0"/>
                      <a:ext cx="2983865" cy="428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1276" w:rsidRPr="00A11176" w:rsidRDefault="00E81276" w:rsidP="002F296C">
      <w:pPr>
        <w:pStyle w:val="Tekstzonderopmaak"/>
        <w:rPr>
          <w:rFonts w:asciiTheme="minorHAnsi" w:hAnsiTheme="minorHAnsi"/>
          <w:i/>
          <w:color w:val="C00000"/>
          <w:sz w:val="20"/>
          <w:szCs w:val="20"/>
        </w:rPr>
      </w:pPr>
      <w:r w:rsidRPr="00A11176">
        <w:rPr>
          <w:rFonts w:asciiTheme="minorHAnsi" w:hAnsiTheme="minorHAnsi"/>
          <w:i/>
          <w:color w:val="C00000"/>
          <w:sz w:val="20"/>
          <w:szCs w:val="20"/>
        </w:rPr>
        <w:t xml:space="preserve">Conclusie: het plan </w:t>
      </w:r>
      <w:proofErr w:type="spellStart"/>
      <w:r w:rsidRPr="00A11176">
        <w:rPr>
          <w:rFonts w:asciiTheme="minorHAnsi" w:hAnsiTheme="minorHAnsi"/>
          <w:i/>
          <w:color w:val="C00000"/>
          <w:sz w:val="20"/>
          <w:szCs w:val="20"/>
        </w:rPr>
        <w:t>Mercon</w:t>
      </w:r>
      <w:proofErr w:type="spellEnd"/>
      <w:r w:rsidRPr="00A11176">
        <w:rPr>
          <w:rFonts w:asciiTheme="minorHAnsi" w:hAnsiTheme="minorHAnsi"/>
          <w:i/>
          <w:color w:val="C00000"/>
          <w:sz w:val="20"/>
          <w:szCs w:val="20"/>
        </w:rPr>
        <w:t>-Kloos sluit qua kwaliteit en programma goed aan op de ambities van de regionale Woonvisie</w:t>
      </w:r>
    </w:p>
    <w:p w:rsidR="00E81276" w:rsidRDefault="00E81276" w:rsidP="002F296C">
      <w:pPr>
        <w:pStyle w:val="Tekstzonderopmaak"/>
        <w:rPr>
          <w:rFonts w:asciiTheme="minorHAnsi" w:hAnsiTheme="minorHAnsi"/>
          <w:sz w:val="20"/>
          <w:szCs w:val="20"/>
        </w:rPr>
      </w:pPr>
    </w:p>
    <w:p w:rsidR="002F296C" w:rsidRPr="00175F4D" w:rsidRDefault="002F296C" w:rsidP="002F296C">
      <w:pPr>
        <w:pStyle w:val="Tekstzonderopmaak"/>
        <w:rPr>
          <w:rFonts w:asciiTheme="minorHAnsi" w:hAnsiTheme="minorHAnsi"/>
          <w:sz w:val="20"/>
          <w:szCs w:val="20"/>
        </w:rPr>
      </w:pPr>
      <w:r w:rsidRPr="00175F4D">
        <w:rPr>
          <w:rFonts w:asciiTheme="minorHAnsi" w:hAnsiTheme="minorHAnsi"/>
          <w:sz w:val="20"/>
          <w:szCs w:val="20"/>
        </w:rPr>
        <w:t>Bij de regionale Woonvisie 2017 – 2031 is gebruik gemaakt van het Woningmarktonderzoek Drechtsteden 2016-2031, april 2017 dat is uitgevoerd door onderzoeksbureau RIGO. In dit woningmar</w:t>
      </w:r>
      <w:r w:rsidR="00175F4D" w:rsidRPr="00175F4D">
        <w:rPr>
          <w:rFonts w:asciiTheme="minorHAnsi" w:hAnsiTheme="minorHAnsi"/>
          <w:sz w:val="20"/>
          <w:szCs w:val="20"/>
        </w:rPr>
        <w:t xml:space="preserve">ktonderzoek is ook per gemeente onder andere het volgende </w:t>
      </w:r>
      <w:r w:rsidRPr="00175F4D">
        <w:rPr>
          <w:rFonts w:asciiTheme="minorHAnsi" w:hAnsiTheme="minorHAnsi"/>
          <w:sz w:val="20"/>
          <w:szCs w:val="20"/>
        </w:rPr>
        <w:t>in beeld gebracht:</w:t>
      </w:r>
      <w:r w:rsidR="00175F4D" w:rsidRPr="00175F4D">
        <w:rPr>
          <w:rFonts w:asciiTheme="minorHAnsi" w:hAnsiTheme="minorHAnsi"/>
          <w:sz w:val="20"/>
          <w:szCs w:val="20"/>
        </w:rPr>
        <w:t xml:space="preserve"> </w:t>
      </w:r>
    </w:p>
    <w:p w:rsidR="00175F4D" w:rsidRDefault="00175F4D" w:rsidP="002F296C">
      <w:pPr>
        <w:pStyle w:val="Tekstzonderopmaak"/>
        <w:rPr>
          <w:rFonts w:asciiTheme="minorHAnsi" w:hAnsiTheme="minorHAnsi"/>
          <w:sz w:val="20"/>
          <w:szCs w:val="20"/>
        </w:rPr>
      </w:pPr>
    </w:p>
    <w:p w:rsidR="00FD555D" w:rsidRPr="00175F4D" w:rsidRDefault="00FD555D" w:rsidP="002F296C">
      <w:pPr>
        <w:pStyle w:val="Tekstzonderopmaak"/>
        <w:rPr>
          <w:rFonts w:asciiTheme="minorHAnsi" w:hAnsiTheme="minorHAnsi"/>
          <w:sz w:val="20"/>
          <w:szCs w:val="20"/>
        </w:rPr>
      </w:pPr>
    </w:p>
    <w:p w:rsidR="00175F4D" w:rsidRDefault="00175F4D" w:rsidP="00175F4D">
      <w:pPr>
        <w:pStyle w:val="Tekstzonderopmaak"/>
        <w:rPr>
          <w:rFonts w:asciiTheme="minorHAnsi" w:hAnsiTheme="minorHAnsi"/>
          <w:sz w:val="20"/>
          <w:szCs w:val="20"/>
        </w:rPr>
      </w:pPr>
      <w:r w:rsidRPr="00175F4D">
        <w:rPr>
          <w:rFonts w:asciiTheme="minorHAnsi" w:hAnsiTheme="minorHAnsi"/>
          <w:b/>
          <w:color w:val="2E74B5" w:themeColor="accent1" w:themeShade="BF"/>
          <w:sz w:val="20"/>
          <w:szCs w:val="20"/>
        </w:rPr>
        <w:t>F</w:t>
      </w:r>
      <w:r w:rsidR="002F296C" w:rsidRPr="00175F4D">
        <w:rPr>
          <w:rFonts w:asciiTheme="minorHAnsi" w:hAnsiTheme="minorHAnsi"/>
          <w:b/>
          <w:color w:val="2E74B5" w:themeColor="accent1" w:themeShade="BF"/>
          <w:sz w:val="20"/>
          <w:szCs w:val="20"/>
        </w:rPr>
        <w:t xml:space="preserve">rictie op de huidige woningmarkt </w:t>
      </w:r>
      <w:r w:rsidRPr="00175F4D">
        <w:rPr>
          <w:rFonts w:asciiTheme="minorHAnsi" w:hAnsiTheme="minorHAnsi"/>
          <w:b/>
          <w:color w:val="2E74B5" w:themeColor="accent1" w:themeShade="BF"/>
          <w:sz w:val="20"/>
          <w:szCs w:val="20"/>
        </w:rPr>
        <w:t>van Alblasserdam</w:t>
      </w:r>
      <w:r w:rsidRPr="00175F4D">
        <w:rPr>
          <w:rFonts w:asciiTheme="minorHAnsi" w:hAnsiTheme="minorHAnsi"/>
          <w:sz w:val="20"/>
          <w:szCs w:val="20"/>
        </w:rPr>
        <w:t xml:space="preserve">, </w:t>
      </w:r>
      <w:r w:rsidR="002F296C" w:rsidRPr="00175F4D">
        <w:rPr>
          <w:rFonts w:asciiTheme="minorHAnsi" w:hAnsiTheme="minorHAnsi"/>
          <w:sz w:val="20"/>
          <w:szCs w:val="20"/>
        </w:rPr>
        <w:t>ofwel waar sluit het huidige aanbod niet aan op de</w:t>
      </w:r>
      <w:r w:rsidRPr="00175F4D">
        <w:rPr>
          <w:rFonts w:asciiTheme="minorHAnsi" w:hAnsiTheme="minorHAnsi"/>
          <w:sz w:val="20"/>
          <w:szCs w:val="20"/>
        </w:rPr>
        <w:t xml:space="preserve"> huidige</w:t>
      </w:r>
      <w:r w:rsidR="002F296C" w:rsidRPr="00175F4D">
        <w:rPr>
          <w:rFonts w:asciiTheme="minorHAnsi" w:hAnsiTheme="minorHAnsi"/>
          <w:sz w:val="20"/>
          <w:szCs w:val="20"/>
        </w:rPr>
        <w:t xml:space="preserve"> vraag</w:t>
      </w:r>
      <w:r w:rsidR="00E81276">
        <w:rPr>
          <w:rFonts w:asciiTheme="minorHAnsi" w:hAnsiTheme="minorHAnsi"/>
          <w:sz w:val="20"/>
          <w:szCs w:val="20"/>
        </w:rPr>
        <w:t xml:space="preserve"> naar woningen (zie figu</w:t>
      </w:r>
      <w:r>
        <w:rPr>
          <w:rFonts w:asciiTheme="minorHAnsi" w:hAnsiTheme="minorHAnsi"/>
          <w:sz w:val="20"/>
          <w:szCs w:val="20"/>
        </w:rPr>
        <w:t>r</w:t>
      </w:r>
      <w:r w:rsidR="00E81276">
        <w:rPr>
          <w:rFonts w:asciiTheme="minorHAnsi" w:hAnsiTheme="minorHAnsi"/>
          <w:sz w:val="20"/>
          <w:szCs w:val="20"/>
        </w:rPr>
        <w:t>en</w:t>
      </w:r>
      <w:r>
        <w:rPr>
          <w:rFonts w:asciiTheme="minorHAnsi" w:hAnsiTheme="minorHAnsi"/>
          <w:sz w:val="20"/>
          <w:szCs w:val="20"/>
        </w:rPr>
        <w:t xml:space="preserve"> hiernaast). </w:t>
      </w:r>
      <w:r w:rsidR="00E81276">
        <w:rPr>
          <w:rFonts w:asciiTheme="minorHAnsi" w:hAnsiTheme="minorHAnsi"/>
          <w:sz w:val="20"/>
          <w:szCs w:val="20"/>
        </w:rPr>
        <w:t>De huidige frictie zit met name in de koopsector verdeeld over alle prijscategorieën.</w:t>
      </w:r>
    </w:p>
    <w:p w:rsidR="00175F4D" w:rsidRDefault="00175F4D" w:rsidP="00175F4D">
      <w:pPr>
        <w:pStyle w:val="Tekstzonderopmaak"/>
        <w:rPr>
          <w:rFonts w:asciiTheme="minorHAnsi" w:hAnsiTheme="minorHAnsi"/>
          <w:sz w:val="20"/>
          <w:szCs w:val="20"/>
        </w:rPr>
      </w:pPr>
    </w:p>
    <w:p w:rsidR="00A11176" w:rsidRPr="00A11176" w:rsidRDefault="00A11176" w:rsidP="00A11176">
      <w:pPr>
        <w:pStyle w:val="Tekstzonderopmaak"/>
        <w:rPr>
          <w:i/>
          <w:color w:val="C00000"/>
          <w:sz w:val="20"/>
          <w:szCs w:val="20"/>
        </w:rPr>
      </w:pPr>
      <w:r w:rsidRPr="00A11176">
        <w:rPr>
          <w:rFonts w:asciiTheme="minorHAnsi" w:hAnsiTheme="minorHAnsi"/>
          <w:i/>
          <w:color w:val="C00000"/>
          <w:sz w:val="20"/>
          <w:szCs w:val="20"/>
        </w:rPr>
        <w:t xml:space="preserve">Conclusie: </w:t>
      </w:r>
      <w:r w:rsidRPr="00A11176">
        <w:rPr>
          <w:i/>
          <w:color w:val="C00000"/>
          <w:sz w:val="20"/>
          <w:szCs w:val="20"/>
        </w:rPr>
        <w:t xml:space="preserve">de mix van woningtypen en prijsklassen </w:t>
      </w:r>
      <w:r w:rsidR="006B0BAF">
        <w:rPr>
          <w:i/>
          <w:color w:val="C00000"/>
          <w:sz w:val="20"/>
          <w:szCs w:val="20"/>
        </w:rPr>
        <w:t xml:space="preserve">van het plan </w:t>
      </w:r>
      <w:proofErr w:type="spellStart"/>
      <w:r w:rsidR="006B0BAF">
        <w:rPr>
          <w:i/>
          <w:color w:val="C00000"/>
          <w:sz w:val="20"/>
          <w:szCs w:val="20"/>
        </w:rPr>
        <w:t>Mercon</w:t>
      </w:r>
      <w:proofErr w:type="spellEnd"/>
      <w:r w:rsidR="006B0BAF">
        <w:rPr>
          <w:i/>
          <w:color w:val="C00000"/>
          <w:sz w:val="20"/>
          <w:szCs w:val="20"/>
        </w:rPr>
        <w:t xml:space="preserve">-Koos </w:t>
      </w:r>
      <w:r w:rsidRPr="00A11176">
        <w:rPr>
          <w:i/>
          <w:color w:val="C00000"/>
          <w:sz w:val="20"/>
          <w:szCs w:val="20"/>
        </w:rPr>
        <w:t xml:space="preserve">spelen in op de huidige tekorten op de </w:t>
      </w:r>
      <w:proofErr w:type="spellStart"/>
      <w:r w:rsidRPr="00A11176">
        <w:rPr>
          <w:i/>
          <w:color w:val="C00000"/>
          <w:sz w:val="20"/>
          <w:szCs w:val="20"/>
        </w:rPr>
        <w:t>Alblasserdamse</w:t>
      </w:r>
      <w:proofErr w:type="spellEnd"/>
      <w:r w:rsidRPr="00A11176">
        <w:rPr>
          <w:i/>
          <w:color w:val="C00000"/>
          <w:sz w:val="20"/>
          <w:szCs w:val="20"/>
        </w:rPr>
        <w:t xml:space="preserve"> woningmarkt die zowel in de </w:t>
      </w:r>
      <w:proofErr w:type="spellStart"/>
      <w:r w:rsidRPr="00A11176">
        <w:rPr>
          <w:i/>
          <w:color w:val="C00000"/>
          <w:sz w:val="20"/>
          <w:szCs w:val="20"/>
        </w:rPr>
        <w:t>eengezinskoopwoningen</w:t>
      </w:r>
      <w:proofErr w:type="spellEnd"/>
      <w:r w:rsidRPr="00A11176">
        <w:rPr>
          <w:i/>
          <w:color w:val="C00000"/>
          <w:sz w:val="20"/>
          <w:szCs w:val="20"/>
        </w:rPr>
        <w:t xml:space="preserve"> als in de koopappartementensfeer in alle prijsklassen aanwezig zijn.</w:t>
      </w:r>
      <w:r>
        <w:rPr>
          <w:i/>
          <w:color w:val="C00000"/>
          <w:sz w:val="20"/>
          <w:szCs w:val="20"/>
        </w:rPr>
        <w:t xml:space="preserve"> De </w:t>
      </w:r>
      <w:r w:rsidR="005E47C0">
        <w:rPr>
          <w:i/>
          <w:color w:val="C00000"/>
          <w:sz w:val="20"/>
          <w:szCs w:val="20"/>
        </w:rPr>
        <w:t xml:space="preserve">huidige </w:t>
      </w:r>
      <w:r>
        <w:rPr>
          <w:i/>
          <w:color w:val="C00000"/>
          <w:sz w:val="20"/>
          <w:szCs w:val="20"/>
        </w:rPr>
        <w:t xml:space="preserve">behoefte aan woningen &lt; EUR </w:t>
      </w:r>
      <w:r w:rsidR="003A2502">
        <w:rPr>
          <w:i/>
          <w:color w:val="C00000"/>
          <w:sz w:val="20"/>
          <w:szCs w:val="20"/>
        </w:rPr>
        <w:t>177.400</w:t>
      </w:r>
      <w:r>
        <w:rPr>
          <w:i/>
          <w:color w:val="C00000"/>
          <w:sz w:val="20"/>
          <w:szCs w:val="20"/>
        </w:rPr>
        <w:t xml:space="preserve"> worden op deze locatie niet bediend. </w:t>
      </w:r>
    </w:p>
    <w:p w:rsidR="00175F4D" w:rsidRDefault="00175F4D" w:rsidP="00175F4D">
      <w:pPr>
        <w:pStyle w:val="Tekstzonderopmaak"/>
        <w:rPr>
          <w:rFonts w:asciiTheme="minorHAnsi" w:hAnsiTheme="minorHAnsi"/>
          <w:sz w:val="20"/>
          <w:szCs w:val="20"/>
        </w:rPr>
      </w:pPr>
    </w:p>
    <w:p w:rsidR="005E47C0" w:rsidRDefault="005E47C0" w:rsidP="00A11176">
      <w:pPr>
        <w:pStyle w:val="Tekstzonderopmaak"/>
        <w:rPr>
          <w:rFonts w:asciiTheme="minorHAnsi" w:hAnsiTheme="minorHAnsi"/>
          <w:b/>
          <w:color w:val="2E74B5" w:themeColor="accent1" w:themeShade="BF"/>
          <w:sz w:val="20"/>
          <w:szCs w:val="20"/>
        </w:rPr>
      </w:pPr>
    </w:p>
    <w:p w:rsidR="005E47C0" w:rsidRDefault="005E47C0" w:rsidP="00A11176">
      <w:pPr>
        <w:pStyle w:val="Tekstzonderopmaak"/>
        <w:rPr>
          <w:rFonts w:asciiTheme="minorHAnsi" w:hAnsiTheme="minorHAnsi"/>
          <w:b/>
          <w:color w:val="2E74B5" w:themeColor="accent1" w:themeShade="BF"/>
          <w:sz w:val="20"/>
          <w:szCs w:val="20"/>
        </w:rPr>
      </w:pPr>
    </w:p>
    <w:p w:rsidR="005E47C0" w:rsidRDefault="005E47C0" w:rsidP="00A11176">
      <w:pPr>
        <w:pStyle w:val="Tekstzonderopmaak"/>
        <w:rPr>
          <w:rFonts w:asciiTheme="minorHAnsi" w:hAnsiTheme="minorHAnsi"/>
          <w:b/>
          <w:color w:val="2E74B5" w:themeColor="accent1" w:themeShade="BF"/>
          <w:sz w:val="20"/>
          <w:szCs w:val="20"/>
        </w:rPr>
      </w:pPr>
    </w:p>
    <w:p w:rsidR="00FD555D" w:rsidRPr="00FD555D" w:rsidRDefault="00FD555D" w:rsidP="00FD555D">
      <w:pPr>
        <w:pStyle w:val="Normaalweb"/>
        <w:spacing w:before="200" w:beforeAutospacing="0" w:after="0" w:afterAutospacing="0" w:line="216" w:lineRule="auto"/>
        <w:ind w:left="4956"/>
        <w:rPr>
          <w:rFonts w:ascii="Arial" w:hAnsi="Arial" w:cs="Arial"/>
          <w:sz w:val="14"/>
          <w:szCs w:val="14"/>
        </w:rPr>
      </w:pPr>
      <w:r w:rsidRPr="00FD555D">
        <w:rPr>
          <w:rFonts w:ascii="Arial" w:eastAsiaTheme="minorEastAsia" w:hAnsi="Arial" w:cs="Arial"/>
          <w:color w:val="000000" w:themeColor="text1"/>
          <w:kern w:val="24"/>
          <w:sz w:val="14"/>
          <w:szCs w:val="14"/>
        </w:rPr>
        <w:t>(bron: Woningmarktonderzoek Drechtsteden 2016-2031, RIGO, april 2017</w:t>
      </w:r>
      <w:r>
        <w:rPr>
          <w:rFonts w:ascii="Arial" w:eastAsiaTheme="minorEastAsia" w:hAnsi="Arial" w:cs="Arial"/>
          <w:color w:val="000000" w:themeColor="text1"/>
          <w:kern w:val="24"/>
          <w:sz w:val="14"/>
          <w:szCs w:val="14"/>
        </w:rPr>
        <w:t>)</w:t>
      </w:r>
    </w:p>
    <w:p w:rsidR="00C364FF" w:rsidRDefault="00C364FF" w:rsidP="00A11176">
      <w:pPr>
        <w:pStyle w:val="Tekstzonderopmaak"/>
        <w:rPr>
          <w:rFonts w:asciiTheme="minorHAnsi" w:hAnsiTheme="minorHAnsi"/>
          <w:b/>
          <w:color w:val="2E74B5" w:themeColor="accent1" w:themeShade="BF"/>
          <w:sz w:val="20"/>
          <w:szCs w:val="20"/>
        </w:rPr>
      </w:pPr>
    </w:p>
    <w:p w:rsidR="002F296C" w:rsidRDefault="00A11176" w:rsidP="00A11176">
      <w:pPr>
        <w:pStyle w:val="Tekstzonderopmaak"/>
        <w:rPr>
          <w:rFonts w:asciiTheme="minorHAnsi" w:hAnsiTheme="minorHAnsi"/>
          <w:b/>
          <w:color w:val="2E74B5" w:themeColor="accent1" w:themeShade="BF"/>
          <w:sz w:val="20"/>
          <w:szCs w:val="20"/>
        </w:rPr>
      </w:pPr>
      <w:r w:rsidRPr="005E47C0">
        <w:rPr>
          <w:rFonts w:asciiTheme="minorHAnsi" w:hAnsiTheme="minorHAnsi"/>
          <w:b/>
          <w:color w:val="2E74B5" w:themeColor="accent1" w:themeShade="BF"/>
          <w:sz w:val="20"/>
          <w:szCs w:val="20"/>
        </w:rPr>
        <w:lastRenderedPageBreak/>
        <w:t>W</w:t>
      </w:r>
      <w:r w:rsidR="00175F4D" w:rsidRPr="005E47C0">
        <w:rPr>
          <w:rFonts w:asciiTheme="minorHAnsi" w:hAnsiTheme="minorHAnsi"/>
          <w:b/>
          <w:color w:val="2E74B5" w:themeColor="accent1" w:themeShade="BF"/>
          <w:sz w:val="20"/>
          <w:szCs w:val="20"/>
        </w:rPr>
        <w:t>oningbehoefte ontwikkeling gebaseerd op de autonome groei van Alblasserdam voor de periodes 2016-2021 en 2016-2031</w:t>
      </w:r>
    </w:p>
    <w:p w:rsidR="005E47C0" w:rsidRDefault="005E47C0" w:rsidP="00A11176">
      <w:pPr>
        <w:pStyle w:val="Tekstzonderopmaak"/>
        <w:rPr>
          <w:rFonts w:asciiTheme="minorHAnsi" w:hAnsiTheme="minorHAnsi"/>
          <w:b/>
          <w:color w:val="2E74B5" w:themeColor="accent1" w:themeShade="BF"/>
          <w:sz w:val="20"/>
          <w:szCs w:val="20"/>
        </w:rPr>
      </w:pPr>
    </w:p>
    <w:p w:rsidR="00922DF2" w:rsidRPr="006B0BAF" w:rsidRDefault="005E47C0" w:rsidP="00F82120">
      <w:pPr>
        <w:pStyle w:val="Kop2"/>
        <w:rPr>
          <w:rFonts w:asciiTheme="minorHAnsi" w:eastAsiaTheme="minorHAnsi" w:hAnsiTheme="minorHAnsi" w:cstheme="minorBidi"/>
          <w:color w:val="auto"/>
          <w:sz w:val="20"/>
          <w:szCs w:val="20"/>
        </w:rPr>
      </w:pPr>
      <w:r w:rsidRPr="00F82120">
        <w:rPr>
          <w:rFonts w:asciiTheme="minorHAnsi" w:hAnsiTheme="minorHAnsi"/>
          <w:color w:val="auto"/>
          <w:sz w:val="20"/>
          <w:szCs w:val="20"/>
        </w:rPr>
        <w:t xml:space="preserve">Wanneer we kijken naar de </w:t>
      </w:r>
      <w:r w:rsidR="00F82120" w:rsidRPr="00F82120">
        <w:rPr>
          <w:rFonts w:asciiTheme="minorHAnsi" w:hAnsiTheme="minorHAnsi"/>
          <w:color w:val="auto"/>
          <w:sz w:val="20"/>
          <w:szCs w:val="20"/>
        </w:rPr>
        <w:t xml:space="preserve">woningbehoefte </w:t>
      </w:r>
      <w:r w:rsidRPr="00F82120">
        <w:rPr>
          <w:rFonts w:asciiTheme="minorHAnsi" w:hAnsiTheme="minorHAnsi"/>
          <w:color w:val="auto"/>
          <w:sz w:val="20"/>
          <w:szCs w:val="20"/>
        </w:rPr>
        <w:t xml:space="preserve">ontwikkeling op termijn </w:t>
      </w:r>
      <w:r w:rsidR="00F82120" w:rsidRPr="00F82120">
        <w:rPr>
          <w:rFonts w:asciiTheme="minorHAnsi" w:hAnsiTheme="minorHAnsi"/>
          <w:color w:val="auto"/>
          <w:sz w:val="20"/>
          <w:szCs w:val="20"/>
        </w:rPr>
        <w:t>zien we de volgende ontwikkelingen</w:t>
      </w:r>
      <w:r w:rsidR="00E14A9F">
        <w:rPr>
          <w:rFonts w:asciiTheme="minorHAnsi" w:hAnsiTheme="minorHAnsi"/>
          <w:color w:val="auto"/>
          <w:sz w:val="20"/>
          <w:szCs w:val="20"/>
        </w:rPr>
        <w:t>: de woonvisie gaat hie</w:t>
      </w:r>
      <w:r w:rsidR="00F82120">
        <w:rPr>
          <w:rFonts w:asciiTheme="minorHAnsi" w:hAnsiTheme="minorHAnsi"/>
          <w:color w:val="auto"/>
          <w:sz w:val="20"/>
          <w:szCs w:val="20"/>
        </w:rPr>
        <w:t xml:space="preserve">rbij uit van het </w:t>
      </w:r>
      <w:proofErr w:type="spellStart"/>
      <w:r w:rsidR="00F82120">
        <w:rPr>
          <w:rFonts w:asciiTheme="minorHAnsi" w:hAnsiTheme="minorHAnsi"/>
          <w:color w:val="auto"/>
          <w:sz w:val="20"/>
          <w:szCs w:val="20"/>
        </w:rPr>
        <w:t>middenscenario</w:t>
      </w:r>
      <w:proofErr w:type="spellEnd"/>
      <w:r w:rsidR="00F82120">
        <w:rPr>
          <w:rFonts w:asciiTheme="minorHAnsi" w:hAnsiTheme="minorHAnsi"/>
          <w:color w:val="auto"/>
          <w:sz w:val="20"/>
          <w:szCs w:val="20"/>
        </w:rPr>
        <w:t xml:space="preserve"> ('basis') voor wat betreft de economische ontwikkeling en de daarbij behorende</w:t>
      </w:r>
      <w:r w:rsidR="006B0BAF">
        <w:rPr>
          <w:rFonts w:asciiTheme="minorHAnsi" w:hAnsiTheme="minorHAnsi"/>
          <w:color w:val="auto"/>
          <w:sz w:val="20"/>
          <w:szCs w:val="20"/>
        </w:rPr>
        <w:t xml:space="preserve"> woningbehoefteontwikkeling.</w:t>
      </w:r>
    </w:p>
    <w:p w:rsidR="006B0BAF" w:rsidRDefault="006B0BAF" w:rsidP="006B0BAF">
      <w:pPr>
        <w:pStyle w:val="Normaalweb"/>
        <w:spacing w:before="200" w:beforeAutospacing="0" w:after="0" w:afterAutospacing="0" w:line="216" w:lineRule="auto"/>
        <w:ind w:left="708"/>
        <w:rPr>
          <w:noProof/>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133985</wp:posOffset>
            </wp:positionV>
            <wp:extent cx="4800600" cy="4441190"/>
            <wp:effectExtent l="0" t="0" r="0" b="0"/>
            <wp:wrapTight wrapText="bothSides">
              <wp:wrapPolygon edited="0">
                <wp:start x="0" y="0"/>
                <wp:lineTo x="0" y="21495"/>
                <wp:lineTo x="21514" y="21495"/>
                <wp:lineTo x="2151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4945"/>
                    <a:stretch/>
                  </pic:blipFill>
                  <pic:spPr bwMode="auto">
                    <a:xfrm>
                      <a:off x="0" y="0"/>
                      <a:ext cx="4800600" cy="4441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6B0BAF" w:rsidRDefault="006B0BAF" w:rsidP="006B0BAF">
      <w:pPr>
        <w:pStyle w:val="Normaalweb"/>
        <w:spacing w:before="200" w:beforeAutospacing="0" w:after="0" w:afterAutospacing="0" w:line="216" w:lineRule="auto"/>
        <w:ind w:left="708"/>
        <w:rPr>
          <w:noProof/>
        </w:rPr>
      </w:pPr>
    </w:p>
    <w:p w:rsidR="00C364FF" w:rsidRDefault="00C364FF" w:rsidP="00C364FF">
      <w:pPr>
        <w:pStyle w:val="Normaalweb"/>
        <w:spacing w:before="200" w:beforeAutospacing="0" w:after="0" w:afterAutospacing="0" w:line="216" w:lineRule="auto"/>
        <w:rPr>
          <w:noProof/>
        </w:rPr>
      </w:pPr>
    </w:p>
    <w:p w:rsidR="00F82120" w:rsidRPr="006B0BAF" w:rsidRDefault="00F82120" w:rsidP="00C364FF">
      <w:pPr>
        <w:pStyle w:val="Normaalweb"/>
        <w:spacing w:before="200" w:beforeAutospacing="0" w:after="0" w:afterAutospacing="0" w:line="216" w:lineRule="auto"/>
        <w:rPr>
          <w:rFonts w:ascii="Arial" w:eastAsiaTheme="minorEastAsia" w:hAnsi="Arial" w:cs="Arial"/>
          <w:color w:val="000000" w:themeColor="text1"/>
          <w:kern w:val="24"/>
          <w:sz w:val="14"/>
          <w:szCs w:val="14"/>
        </w:rPr>
      </w:pPr>
      <w:r w:rsidRPr="00FD555D">
        <w:rPr>
          <w:rFonts w:ascii="Arial" w:eastAsiaTheme="minorEastAsia" w:hAnsi="Arial" w:cs="Arial"/>
          <w:color w:val="000000" w:themeColor="text1"/>
          <w:kern w:val="24"/>
          <w:sz w:val="14"/>
          <w:szCs w:val="14"/>
        </w:rPr>
        <w:t>(bron: Woningmarktonderzoek Drechtsteden 2016-2031, RIGO, april 2017</w:t>
      </w:r>
      <w:r>
        <w:rPr>
          <w:rFonts w:ascii="Arial" w:eastAsiaTheme="minorEastAsia" w:hAnsi="Arial" w:cs="Arial"/>
          <w:color w:val="000000" w:themeColor="text1"/>
          <w:kern w:val="24"/>
          <w:sz w:val="14"/>
          <w:szCs w:val="14"/>
        </w:rPr>
        <w:t>)</w:t>
      </w:r>
      <w:r w:rsidRPr="00F82120">
        <w:rPr>
          <w:noProof/>
        </w:rPr>
        <w:t xml:space="preserve"> </w:t>
      </w:r>
    </w:p>
    <w:p w:rsidR="006B0BAF" w:rsidRDefault="006B0BAF" w:rsidP="006B0BAF">
      <w:pPr>
        <w:pStyle w:val="Tekstzonderopmaak"/>
        <w:rPr>
          <w:rFonts w:asciiTheme="minorHAnsi" w:hAnsiTheme="minorHAnsi"/>
          <w:i/>
          <w:color w:val="C00000"/>
          <w:sz w:val="20"/>
          <w:szCs w:val="20"/>
        </w:rPr>
      </w:pPr>
    </w:p>
    <w:p w:rsidR="00EA186D" w:rsidRPr="00EA186D" w:rsidRDefault="006B0BAF" w:rsidP="00EA186D">
      <w:pPr>
        <w:rPr>
          <w:i/>
          <w:color w:val="C00000"/>
          <w:sz w:val="20"/>
          <w:szCs w:val="20"/>
        </w:rPr>
      </w:pPr>
      <w:r w:rsidRPr="00EA186D">
        <w:rPr>
          <w:i/>
          <w:color w:val="C00000"/>
          <w:sz w:val="20"/>
          <w:szCs w:val="20"/>
        </w:rPr>
        <w:t xml:space="preserve">Conclusie: </w:t>
      </w:r>
      <w:r w:rsidR="004E49A6">
        <w:rPr>
          <w:i/>
          <w:color w:val="C00000"/>
          <w:sz w:val="20"/>
          <w:szCs w:val="20"/>
        </w:rPr>
        <w:t>h</w:t>
      </w:r>
      <w:r w:rsidR="00EA186D" w:rsidRPr="00EA186D">
        <w:rPr>
          <w:i/>
          <w:color w:val="C00000"/>
          <w:sz w:val="20"/>
          <w:szCs w:val="20"/>
        </w:rPr>
        <w:t xml:space="preserve">et plan </w:t>
      </w:r>
      <w:proofErr w:type="spellStart"/>
      <w:r w:rsidR="00EA186D" w:rsidRPr="00EA186D">
        <w:rPr>
          <w:i/>
          <w:color w:val="C00000"/>
          <w:sz w:val="20"/>
          <w:szCs w:val="20"/>
        </w:rPr>
        <w:t>Mercon</w:t>
      </w:r>
      <w:proofErr w:type="spellEnd"/>
      <w:r w:rsidR="00EA186D" w:rsidRPr="00EA186D">
        <w:rPr>
          <w:i/>
          <w:color w:val="C00000"/>
          <w:sz w:val="20"/>
          <w:szCs w:val="20"/>
        </w:rPr>
        <w:t xml:space="preserve">-Koos speelt in op de woningbehoefte op de </w:t>
      </w:r>
      <w:proofErr w:type="spellStart"/>
      <w:r w:rsidR="00EA186D" w:rsidRPr="00EA186D">
        <w:rPr>
          <w:i/>
          <w:color w:val="C00000"/>
          <w:sz w:val="20"/>
          <w:szCs w:val="20"/>
        </w:rPr>
        <w:t>Alblasserdamse</w:t>
      </w:r>
      <w:proofErr w:type="spellEnd"/>
      <w:r w:rsidR="00EA186D" w:rsidRPr="00EA186D">
        <w:rPr>
          <w:i/>
          <w:color w:val="C00000"/>
          <w:sz w:val="20"/>
          <w:szCs w:val="20"/>
        </w:rPr>
        <w:t xml:space="preserve"> woningmarkt, de regionale behoefte en de regionale groeiambitie. De </w:t>
      </w:r>
      <w:proofErr w:type="spellStart"/>
      <w:r w:rsidR="00EA186D" w:rsidRPr="00EA186D">
        <w:rPr>
          <w:i/>
          <w:color w:val="C00000"/>
          <w:sz w:val="20"/>
          <w:szCs w:val="20"/>
        </w:rPr>
        <w:t>Alblasserdamse</w:t>
      </w:r>
      <w:proofErr w:type="spellEnd"/>
      <w:r w:rsidR="00EA186D" w:rsidRPr="00EA186D">
        <w:rPr>
          <w:i/>
          <w:color w:val="C00000"/>
          <w:sz w:val="20"/>
          <w:szCs w:val="20"/>
        </w:rPr>
        <w:t xml:space="preserve"> woningbehoefte manifesteert zich zowel in de </w:t>
      </w:r>
      <w:proofErr w:type="spellStart"/>
      <w:r w:rsidR="00EA186D" w:rsidRPr="00EA186D">
        <w:rPr>
          <w:i/>
          <w:color w:val="C00000"/>
          <w:sz w:val="20"/>
          <w:szCs w:val="20"/>
        </w:rPr>
        <w:t>eengezinskoopwoningen</w:t>
      </w:r>
      <w:proofErr w:type="spellEnd"/>
      <w:r w:rsidR="00EA186D" w:rsidRPr="00EA186D">
        <w:rPr>
          <w:i/>
          <w:color w:val="C00000"/>
          <w:sz w:val="20"/>
          <w:szCs w:val="20"/>
        </w:rPr>
        <w:t xml:space="preserve"> als in de koopappartementensfeer en in alle prijsklassen. De behoefte aan koopwoningen &lt; EUR 177.400 en huurwoningen wordt op deze locatie niet bediend. Het direct bedienen van dit segment is gelet op de unieke kwaliteiten van de locatie en de relatief hoge ontwikkelkosten (sanering en waterveiligheid) niet realiseerbaar als tegelijkertijd ook een beperkte woningdichtheid gewenst is. Juist de beperkte woningdichtheid draagt zorg voor een relatief beperkte verkeer aantrekkende werking. Wel zullen woningzoekende in het segment koop &lt;EUR 177.400 indirect bediend worden. Het ligt in de rede dat met het toevoegen van voldoende woningen voor doorstromers, binnen de huidige woningvoorraad als direct gevolg van doorstroming, starterswoningen beschikbaar zullen komen.</w:t>
      </w:r>
    </w:p>
    <w:p w:rsidR="0015012F" w:rsidRPr="00EA186D" w:rsidRDefault="00EA186D" w:rsidP="00EA186D">
      <w:pPr>
        <w:pStyle w:val="Tekstzonderopmaak"/>
        <w:rPr>
          <w:rFonts w:asciiTheme="minorHAnsi" w:hAnsiTheme="minorHAnsi"/>
          <w:i/>
          <w:color w:val="C00000"/>
          <w:sz w:val="20"/>
          <w:szCs w:val="20"/>
        </w:rPr>
      </w:pPr>
      <w:r w:rsidRPr="00EA186D">
        <w:rPr>
          <w:rFonts w:asciiTheme="minorHAnsi" w:hAnsiTheme="minorHAnsi"/>
          <w:i/>
          <w:color w:val="C00000"/>
          <w:sz w:val="20"/>
          <w:szCs w:val="20"/>
        </w:rPr>
        <w:t xml:space="preserve">Voor wat betreft de huurwoningen is er in de periode 2016-2031 voldoende aanbod in alle prijssegmenten. Daarnaast voorziet het plan voor wat betreft appartementen in een aanbod dat uitstijgt boven de lokale woningbehoefte aan appartementen tot 2031. Deze overmaat draagt echter wel bij aan het voorzien in de regionale behoefte en kan bijdrage aan de regionale groeiambitie. Verder houdt de programmering van appartementen direct verband met de ambitie om een bijzonder woonmilieu te realiseren, waarbij beperkte verstening en beleefbaarheid van het water centraal staat. Het ruime areaal aan openbare ruimte is een </w:t>
      </w:r>
      <w:r w:rsidRPr="00EA186D">
        <w:rPr>
          <w:rFonts w:asciiTheme="minorHAnsi" w:hAnsiTheme="minorHAnsi"/>
          <w:i/>
          <w:color w:val="C00000"/>
          <w:sz w:val="20"/>
          <w:szCs w:val="20"/>
        </w:rPr>
        <w:lastRenderedPageBreak/>
        <w:t>resultante van het opgenomen programma. Met een groter aantal grondgebonden woningen is deze ambitie niet te realiseren.</w:t>
      </w:r>
    </w:p>
    <w:p w:rsidR="0015012F" w:rsidRPr="00EA186D" w:rsidRDefault="0015012F" w:rsidP="0015012F">
      <w:pPr>
        <w:pStyle w:val="Tekstzonderopmaak"/>
        <w:rPr>
          <w:rFonts w:asciiTheme="minorHAnsi" w:hAnsiTheme="minorHAnsi"/>
          <w:i/>
          <w:color w:val="C00000"/>
          <w:sz w:val="20"/>
          <w:szCs w:val="20"/>
        </w:rPr>
      </w:pPr>
    </w:p>
    <w:sectPr w:rsidR="0015012F" w:rsidRPr="00EA1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merican Typewri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55B02"/>
    <w:multiLevelType w:val="hybridMultilevel"/>
    <w:tmpl w:val="6A605138"/>
    <w:lvl w:ilvl="0" w:tplc="6780F54E">
      <w:numFmt w:val="bullet"/>
      <w:lvlText w:val="-"/>
      <w:lvlJc w:val="left"/>
      <w:pPr>
        <w:ind w:left="1080" w:hanging="360"/>
      </w:pPr>
      <w:rPr>
        <w:rFonts w:ascii="Arial" w:eastAsia="Times New Roman" w:hAnsi="Arial" w:cs="Arial" w:hint="default"/>
        <w:lang w:val="nl-NL"/>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825254F"/>
    <w:multiLevelType w:val="hybridMultilevel"/>
    <w:tmpl w:val="04BC0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533C41"/>
    <w:multiLevelType w:val="hybridMultilevel"/>
    <w:tmpl w:val="A4F25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2F"/>
    <w:rsid w:val="0015012F"/>
    <w:rsid w:val="00175F4D"/>
    <w:rsid w:val="002F296C"/>
    <w:rsid w:val="002F7812"/>
    <w:rsid w:val="003A2502"/>
    <w:rsid w:val="004E49A6"/>
    <w:rsid w:val="00597ACD"/>
    <w:rsid w:val="005E47C0"/>
    <w:rsid w:val="006B0BAF"/>
    <w:rsid w:val="00737074"/>
    <w:rsid w:val="00922DF2"/>
    <w:rsid w:val="00A11176"/>
    <w:rsid w:val="00C10532"/>
    <w:rsid w:val="00C364FF"/>
    <w:rsid w:val="00C97F01"/>
    <w:rsid w:val="00D8135D"/>
    <w:rsid w:val="00DB5277"/>
    <w:rsid w:val="00E14A9F"/>
    <w:rsid w:val="00E81276"/>
    <w:rsid w:val="00EA186D"/>
    <w:rsid w:val="00F82120"/>
    <w:rsid w:val="00FD5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77B08-EF0D-478E-8037-DEDB1FC7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F821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012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15012F"/>
    <w:rPr>
      <w:rFonts w:ascii="Calibri" w:hAnsi="Calibri"/>
      <w:szCs w:val="21"/>
    </w:rPr>
  </w:style>
  <w:style w:type="paragraph" w:styleId="Normaalweb">
    <w:name w:val="Normal (Web)"/>
    <w:basedOn w:val="Standaard"/>
    <w:uiPriority w:val="99"/>
    <w:unhideWhenUsed/>
    <w:rsid w:val="0015012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3A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82120"/>
    <w:rPr>
      <w:rFonts w:asciiTheme="majorHAnsi" w:eastAsiaTheme="majorEastAsia" w:hAnsiTheme="majorHAnsi" w:cstheme="majorBidi"/>
      <w:color w:val="2E74B5" w:themeColor="accent1" w:themeShade="BF"/>
      <w:sz w:val="26"/>
      <w:szCs w:val="26"/>
    </w:rPr>
  </w:style>
  <w:style w:type="paragraph" w:styleId="Plattetekst2">
    <w:name w:val="Body Text 2"/>
    <w:basedOn w:val="Standaard"/>
    <w:link w:val="Plattetekst2Char"/>
    <w:rsid w:val="00EA186D"/>
    <w:pPr>
      <w:spacing w:after="0" w:line="240" w:lineRule="auto"/>
    </w:pPr>
    <w:rPr>
      <w:rFonts w:ascii="Times New Roman" w:eastAsia="Times New Roman" w:hAnsi="Times New Roman" w:cs="Times New Roman"/>
      <w:szCs w:val="20"/>
      <w:lang w:eastAsia="nl-NL"/>
    </w:rPr>
  </w:style>
  <w:style w:type="character" w:customStyle="1" w:styleId="Plattetekst2Char">
    <w:name w:val="Platte tekst 2 Char"/>
    <w:basedOn w:val="Standaardalinea-lettertype"/>
    <w:link w:val="Plattetekst2"/>
    <w:rsid w:val="00EA186D"/>
    <w:rPr>
      <w:rFonts w:ascii="Times New Roman" w:eastAsia="Times New Roman" w:hAnsi="Times New Roman" w:cs="Times New Roman"/>
      <w:szCs w:val="20"/>
      <w:lang w:eastAsia="nl-NL"/>
    </w:rPr>
  </w:style>
  <w:style w:type="paragraph" w:styleId="Lijstalinea">
    <w:name w:val="List Paragraph"/>
    <w:basedOn w:val="Standaard"/>
    <w:uiPriority w:val="34"/>
    <w:qFormat/>
    <w:rsid w:val="00EA186D"/>
    <w:pPr>
      <w:spacing w:after="0" w:line="320" w:lineRule="atLeast"/>
      <w:ind w:left="720"/>
      <w:contextualSpacing/>
    </w:pPr>
    <w:rPr>
      <w:rFonts w:ascii="Quadraat-Regular" w:eastAsia="Times New Roman" w:hAnsi="Quadraat-Regular"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3007">
      <w:bodyDiv w:val="1"/>
      <w:marLeft w:val="0"/>
      <w:marRight w:val="0"/>
      <w:marTop w:val="0"/>
      <w:marBottom w:val="0"/>
      <w:divBdr>
        <w:top w:val="none" w:sz="0" w:space="0" w:color="auto"/>
        <w:left w:val="none" w:sz="0" w:space="0" w:color="auto"/>
        <w:bottom w:val="none" w:sz="0" w:space="0" w:color="auto"/>
        <w:right w:val="none" w:sz="0" w:space="0" w:color="auto"/>
      </w:divBdr>
    </w:div>
    <w:div w:id="419642543">
      <w:bodyDiv w:val="1"/>
      <w:marLeft w:val="0"/>
      <w:marRight w:val="0"/>
      <w:marTop w:val="0"/>
      <w:marBottom w:val="0"/>
      <w:divBdr>
        <w:top w:val="none" w:sz="0" w:space="0" w:color="auto"/>
        <w:left w:val="none" w:sz="0" w:space="0" w:color="auto"/>
        <w:bottom w:val="none" w:sz="0" w:space="0" w:color="auto"/>
        <w:right w:val="none" w:sz="0" w:space="0" w:color="auto"/>
      </w:divBdr>
    </w:div>
    <w:div w:id="1004867369">
      <w:bodyDiv w:val="1"/>
      <w:marLeft w:val="0"/>
      <w:marRight w:val="0"/>
      <w:marTop w:val="0"/>
      <w:marBottom w:val="0"/>
      <w:divBdr>
        <w:top w:val="none" w:sz="0" w:space="0" w:color="auto"/>
        <w:left w:val="none" w:sz="0" w:space="0" w:color="auto"/>
        <w:bottom w:val="none" w:sz="0" w:space="0" w:color="auto"/>
        <w:right w:val="none" w:sz="0" w:space="0" w:color="auto"/>
      </w:divBdr>
    </w:div>
    <w:div w:id="1286036704">
      <w:bodyDiv w:val="1"/>
      <w:marLeft w:val="0"/>
      <w:marRight w:val="0"/>
      <w:marTop w:val="0"/>
      <w:marBottom w:val="0"/>
      <w:divBdr>
        <w:top w:val="none" w:sz="0" w:space="0" w:color="auto"/>
        <w:left w:val="none" w:sz="0" w:space="0" w:color="auto"/>
        <w:bottom w:val="none" w:sz="0" w:space="0" w:color="auto"/>
        <w:right w:val="none" w:sz="0" w:space="0" w:color="auto"/>
      </w:divBdr>
    </w:div>
    <w:div w:id="1788499510">
      <w:bodyDiv w:val="1"/>
      <w:marLeft w:val="0"/>
      <w:marRight w:val="0"/>
      <w:marTop w:val="0"/>
      <w:marBottom w:val="0"/>
      <w:divBdr>
        <w:top w:val="none" w:sz="0" w:space="0" w:color="auto"/>
        <w:left w:val="none" w:sz="0" w:space="0" w:color="auto"/>
        <w:bottom w:val="none" w:sz="0" w:space="0" w:color="auto"/>
        <w:right w:val="none" w:sz="0" w:space="0" w:color="auto"/>
      </w:divBdr>
    </w:div>
    <w:div w:id="1810200088">
      <w:bodyDiv w:val="1"/>
      <w:marLeft w:val="0"/>
      <w:marRight w:val="0"/>
      <w:marTop w:val="0"/>
      <w:marBottom w:val="0"/>
      <w:divBdr>
        <w:top w:val="none" w:sz="0" w:space="0" w:color="auto"/>
        <w:left w:val="none" w:sz="0" w:space="0" w:color="auto"/>
        <w:bottom w:val="none" w:sz="0" w:space="0" w:color="auto"/>
        <w:right w:val="none" w:sz="0" w:space="0" w:color="auto"/>
      </w:divBdr>
    </w:div>
    <w:div w:id="20313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3753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Waas, J (John)</dc:creator>
  <cp:keywords/>
  <dc:description/>
  <cp:lastModifiedBy>Conrad-Smit, AJA</cp:lastModifiedBy>
  <cp:revision>2</cp:revision>
  <dcterms:created xsi:type="dcterms:W3CDTF">2018-03-28T10:30:00Z</dcterms:created>
  <dcterms:modified xsi:type="dcterms:W3CDTF">2018-03-28T10:30:00Z</dcterms:modified>
</cp:coreProperties>
</file>