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36" w:rsidRPr="00BC669D" w:rsidRDefault="00E90E36" w:rsidP="00BC669D">
      <w:pPr>
        <w:pStyle w:val="Voettekst1"/>
        <w:jc w:val="left"/>
        <w:rPr>
          <w:rFonts w:cs="Arial"/>
          <w:sz w:val="20"/>
          <w:szCs w:val="20"/>
        </w:rPr>
      </w:pPr>
      <w:bookmarkStart w:id="0" w:name="_GoBack"/>
      <w:bookmarkEnd w:id="0"/>
    </w:p>
    <w:p w:rsidR="00827CA4" w:rsidRPr="00BC669D" w:rsidRDefault="00827CA4" w:rsidP="00BC669D">
      <w:pPr>
        <w:pStyle w:val="Kop5"/>
        <w:spacing w:before="0" w:after="0"/>
        <w:rPr>
          <w:rFonts w:cs="Arial"/>
          <w:szCs w:val="20"/>
        </w:rPr>
      </w:pPr>
      <w:r w:rsidRPr="00677BFB">
        <w:rPr>
          <w:rFonts w:cs="Arial"/>
          <w:szCs w:val="20"/>
        </w:rPr>
        <w:t xml:space="preserve">VOORSTEL </w:t>
      </w:r>
      <w:r w:rsidRPr="00BC669D">
        <w:rPr>
          <w:rFonts w:cs="Arial"/>
          <w:caps/>
          <w:szCs w:val="20"/>
        </w:rPr>
        <w:t>Drechtstedenbestuur</w:t>
      </w:r>
    </w:p>
    <w:p w:rsidR="00092BD2" w:rsidRPr="00BC669D" w:rsidRDefault="00092BD2" w:rsidP="00BC669D">
      <w:pPr>
        <w:rPr>
          <w:rFonts w:cs="Arial"/>
          <w:b/>
          <w:szCs w:val="20"/>
        </w:rPr>
      </w:pPr>
    </w:p>
    <w:tbl>
      <w:tblPr>
        <w:tblW w:w="90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410"/>
        <w:gridCol w:w="2332"/>
      </w:tblGrid>
      <w:tr w:rsidR="00827CA4" w:rsidRPr="00BC669D" w:rsidTr="002C2731">
        <w:trPr>
          <w:jc w:val="right"/>
        </w:trPr>
        <w:tc>
          <w:tcPr>
            <w:tcW w:w="2700" w:type="dxa"/>
            <w:tcBorders>
              <w:bottom w:val="nil"/>
            </w:tcBorders>
            <w:shd w:val="clear" w:color="auto" w:fill="auto"/>
          </w:tcPr>
          <w:p w:rsidR="00827CA4" w:rsidRPr="00BC669D" w:rsidRDefault="00827CA4" w:rsidP="00BC669D">
            <w:pPr>
              <w:rPr>
                <w:rFonts w:cs="Arial"/>
                <w:b/>
                <w:szCs w:val="20"/>
              </w:rPr>
            </w:pPr>
            <w:r w:rsidRPr="00BC669D">
              <w:rPr>
                <w:rFonts w:cs="Arial"/>
                <w:b/>
                <w:szCs w:val="20"/>
              </w:rPr>
              <w:t>Portefeuillehouder</w:t>
            </w:r>
            <w:r w:rsidR="00C73205" w:rsidRPr="00BC669D">
              <w:rPr>
                <w:rFonts w:cs="Arial"/>
                <w:b/>
                <w:szCs w:val="20"/>
              </w:rPr>
              <w:br/>
              <w:t>regionaal/coördinerend/opdracht</w:t>
            </w:r>
          </w:p>
        </w:tc>
        <w:tc>
          <w:tcPr>
            <w:tcW w:w="2800" w:type="dxa"/>
            <w:tcBorders>
              <w:bottom w:val="nil"/>
            </w:tcBorders>
            <w:shd w:val="clear" w:color="auto" w:fill="auto"/>
          </w:tcPr>
          <w:p w:rsidR="00827CA4" w:rsidRPr="00BC669D" w:rsidRDefault="00827CA4" w:rsidP="00BC669D">
            <w:pPr>
              <w:rPr>
                <w:rFonts w:cs="Arial"/>
                <w:b/>
                <w:szCs w:val="20"/>
              </w:rPr>
            </w:pPr>
            <w:r w:rsidRPr="00BC669D">
              <w:rPr>
                <w:rFonts w:cs="Arial"/>
                <w:b/>
                <w:szCs w:val="20"/>
              </w:rPr>
              <w:t>Datum</w:t>
            </w:r>
            <w:r w:rsidR="00C73011" w:rsidRPr="00BC669D">
              <w:rPr>
                <w:rFonts w:cs="Arial"/>
                <w:b/>
                <w:szCs w:val="20"/>
              </w:rPr>
              <w:t xml:space="preserve"> </w:t>
            </w:r>
            <w:r w:rsidR="001F675C" w:rsidRPr="00BC669D">
              <w:rPr>
                <w:rFonts w:cs="Arial"/>
                <w:b/>
                <w:szCs w:val="20"/>
              </w:rPr>
              <w:br/>
            </w:r>
            <w:r w:rsidR="00C73011" w:rsidRPr="00BC669D">
              <w:rPr>
                <w:rFonts w:cs="Arial"/>
                <w:i/>
                <w:szCs w:val="20"/>
              </w:rPr>
              <w:t>(van opstellen stuk)</w:t>
            </w:r>
          </w:p>
        </w:tc>
        <w:tc>
          <w:tcPr>
            <w:tcW w:w="3592" w:type="dxa"/>
            <w:tcBorders>
              <w:bottom w:val="nil"/>
            </w:tcBorders>
            <w:shd w:val="clear" w:color="auto" w:fill="auto"/>
          </w:tcPr>
          <w:p w:rsidR="001F675C" w:rsidRPr="00BC669D" w:rsidRDefault="001F675C" w:rsidP="00BC669D">
            <w:pPr>
              <w:rPr>
                <w:rFonts w:cs="Arial"/>
                <w:b/>
                <w:szCs w:val="20"/>
              </w:rPr>
            </w:pPr>
          </w:p>
        </w:tc>
      </w:tr>
      <w:tr w:rsidR="00827CA4" w:rsidRPr="00BC669D" w:rsidTr="002C2731">
        <w:trPr>
          <w:jc w:val="right"/>
        </w:trPr>
        <w:tc>
          <w:tcPr>
            <w:tcW w:w="2700" w:type="dxa"/>
            <w:tcBorders>
              <w:top w:val="nil"/>
              <w:bottom w:val="single" w:sz="4" w:space="0" w:color="auto"/>
            </w:tcBorders>
            <w:shd w:val="clear" w:color="auto" w:fill="auto"/>
          </w:tcPr>
          <w:p w:rsidR="00827CA4" w:rsidRPr="00BC669D" w:rsidRDefault="00BC669D" w:rsidP="00BC669D">
            <w:pPr>
              <w:rPr>
                <w:rFonts w:cs="Arial"/>
                <w:szCs w:val="20"/>
              </w:rPr>
            </w:pPr>
            <w:r w:rsidRPr="00BC669D">
              <w:rPr>
                <w:rFonts w:cs="Arial"/>
                <w:szCs w:val="20"/>
              </w:rPr>
              <w:t>Jacqueline van Dongen</w:t>
            </w:r>
          </w:p>
        </w:tc>
        <w:tc>
          <w:tcPr>
            <w:tcW w:w="2800" w:type="dxa"/>
            <w:tcBorders>
              <w:top w:val="nil"/>
              <w:bottom w:val="single" w:sz="4" w:space="0" w:color="auto"/>
            </w:tcBorders>
            <w:shd w:val="clear" w:color="auto" w:fill="auto"/>
          </w:tcPr>
          <w:p w:rsidR="00827CA4" w:rsidRPr="00BC669D" w:rsidRDefault="00BC669D" w:rsidP="00BC669D">
            <w:pPr>
              <w:rPr>
                <w:rFonts w:cs="Arial"/>
                <w:szCs w:val="20"/>
              </w:rPr>
            </w:pPr>
            <w:r w:rsidRPr="00BC669D">
              <w:rPr>
                <w:rFonts w:cs="Arial"/>
                <w:szCs w:val="20"/>
              </w:rPr>
              <w:t>24 januari 2018</w:t>
            </w:r>
          </w:p>
        </w:tc>
        <w:tc>
          <w:tcPr>
            <w:tcW w:w="3592" w:type="dxa"/>
            <w:tcBorders>
              <w:top w:val="nil"/>
              <w:bottom w:val="single" w:sz="4" w:space="0" w:color="auto"/>
            </w:tcBorders>
            <w:shd w:val="clear" w:color="auto" w:fill="auto"/>
          </w:tcPr>
          <w:p w:rsidR="00827CA4" w:rsidRPr="00BC669D" w:rsidRDefault="00827CA4" w:rsidP="00BC669D">
            <w:pPr>
              <w:rPr>
                <w:rFonts w:cs="Arial"/>
                <w:i/>
                <w:szCs w:val="20"/>
              </w:rPr>
            </w:pPr>
          </w:p>
        </w:tc>
      </w:tr>
      <w:tr w:rsidR="00827CA4" w:rsidRPr="00BC669D" w:rsidTr="002C2731">
        <w:trPr>
          <w:jc w:val="right"/>
        </w:trPr>
        <w:tc>
          <w:tcPr>
            <w:tcW w:w="2700" w:type="dxa"/>
            <w:tcBorders>
              <w:bottom w:val="nil"/>
            </w:tcBorders>
            <w:shd w:val="clear" w:color="auto" w:fill="auto"/>
          </w:tcPr>
          <w:p w:rsidR="00827CA4" w:rsidRPr="00BC669D" w:rsidRDefault="00827CA4" w:rsidP="00BC669D">
            <w:pPr>
              <w:rPr>
                <w:rFonts w:cs="Arial"/>
                <w:b/>
                <w:szCs w:val="20"/>
              </w:rPr>
            </w:pPr>
            <w:r w:rsidRPr="00BC669D">
              <w:rPr>
                <w:rFonts w:cs="Arial"/>
                <w:b/>
                <w:szCs w:val="20"/>
              </w:rPr>
              <w:t>Steller</w:t>
            </w:r>
          </w:p>
        </w:tc>
        <w:tc>
          <w:tcPr>
            <w:tcW w:w="2800" w:type="dxa"/>
            <w:tcBorders>
              <w:bottom w:val="nil"/>
            </w:tcBorders>
            <w:shd w:val="clear" w:color="auto" w:fill="auto"/>
          </w:tcPr>
          <w:p w:rsidR="00827CA4" w:rsidRPr="00BC669D" w:rsidRDefault="00827CA4" w:rsidP="00BC669D">
            <w:pPr>
              <w:rPr>
                <w:rFonts w:cs="Arial"/>
                <w:b/>
                <w:szCs w:val="20"/>
              </w:rPr>
            </w:pPr>
            <w:r w:rsidRPr="00BC669D">
              <w:rPr>
                <w:rFonts w:cs="Arial"/>
                <w:b/>
                <w:szCs w:val="20"/>
              </w:rPr>
              <w:t>E-mail</w:t>
            </w:r>
          </w:p>
        </w:tc>
        <w:tc>
          <w:tcPr>
            <w:tcW w:w="3592" w:type="dxa"/>
            <w:tcBorders>
              <w:bottom w:val="nil"/>
            </w:tcBorders>
            <w:shd w:val="clear" w:color="auto" w:fill="auto"/>
          </w:tcPr>
          <w:p w:rsidR="00827CA4" w:rsidRPr="00BC669D" w:rsidRDefault="00827CA4" w:rsidP="00BC669D">
            <w:pPr>
              <w:rPr>
                <w:rFonts w:cs="Arial"/>
                <w:b/>
                <w:szCs w:val="20"/>
              </w:rPr>
            </w:pPr>
            <w:r w:rsidRPr="00BC669D">
              <w:rPr>
                <w:rFonts w:cs="Arial"/>
                <w:b/>
                <w:szCs w:val="20"/>
              </w:rPr>
              <w:t>Telefoonnummer</w:t>
            </w:r>
          </w:p>
        </w:tc>
      </w:tr>
      <w:tr w:rsidR="00827CA4" w:rsidRPr="00BC669D" w:rsidTr="002C2731">
        <w:trPr>
          <w:jc w:val="right"/>
        </w:trPr>
        <w:tc>
          <w:tcPr>
            <w:tcW w:w="2700" w:type="dxa"/>
            <w:tcBorders>
              <w:top w:val="nil"/>
            </w:tcBorders>
            <w:shd w:val="clear" w:color="auto" w:fill="auto"/>
          </w:tcPr>
          <w:p w:rsidR="00BC669D" w:rsidRDefault="00BC669D" w:rsidP="00BC669D">
            <w:pPr>
              <w:rPr>
                <w:rFonts w:cs="Arial"/>
                <w:szCs w:val="20"/>
              </w:rPr>
            </w:pPr>
            <w:r w:rsidRPr="00BC669D">
              <w:rPr>
                <w:rFonts w:cs="Arial"/>
                <w:szCs w:val="20"/>
              </w:rPr>
              <w:t>Paula van der Knaap</w:t>
            </w:r>
          </w:p>
          <w:p w:rsidR="00827CA4" w:rsidRPr="00BC669D" w:rsidRDefault="00BC669D" w:rsidP="00BC669D">
            <w:pPr>
              <w:rPr>
                <w:rFonts w:cs="Arial"/>
                <w:szCs w:val="20"/>
              </w:rPr>
            </w:pPr>
            <w:r w:rsidRPr="00BC669D">
              <w:rPr>
                <w:rFonts w:cs="Arial"/>
                <w:szCs w:val="20"/>
              </w:rPr>
              <w:t>Suzanne Geerts</w:t>
            </w:r>
            <w:r>
              <w:rPr>
                <w:rFonts w:cs="Arial"/>
                <w:szCs w:val="20"/>
              </w:rPr>
              <w:t xml:space="preserve"> </w:t>
            </w:r>
          </w:p>
        </w:tc>
        <w:tc>
          <w:tcPr>
            <w:tcW w:w="2800" w:type="dxa"/>
            <w:tcBorders>
              <w:top w:val="nil"/>
            </w:tcBorders>
            <w:shd w:val="clear" w:color="auto" w:fill="auto"/>
          </w:tcPr>
          <w:p w:rsidR="00827CA4" w:rsidRPr="00BC669D" w:rsidRDefault="00BC669D" w:rsidP="00BC669D">
            <w:pPr>
              <w:rPr>
                <w:rFonts w:cs="Arial"/>
                <w:szCs w:val="20"/>
              </w:rPr>
            </w:pPr>
            <w:r w:rsidRPr="00BC669D">
              <w:rPr>
                <w:rFonts w:cs="Arial"/>
                <w:szCs w:val="20"/>
              </w:rPr>
              <w:t>PW.vander.Knaap@drechtsteden.nl</w:t>
            </w:r>
          </w:p>
        </w:tc>
        <w:tc>
          <w:tcPr>
            <w:tcW w:w="3592" w:type="dxa"/>
            <w:tcBorders>
              <w:top w:val="nil"/>
            </w:tcBorders>
            <w:shd w:val="clear" w:color="auto" w:fill="auto"/>
          </w:tcPr>
          <w:p w:rsidR="00827CA4" w:rsidRPr="00BC669D" w:rsidRDefault="00BC669D" w:rsidP="00BC669D">
            <w:pPr>
              <w:rPr>
                <w:rFonts w:cs="Arial"/>
                <w:szCs w:val="20"/>
              </w:rPr>
            </w:pPr>
            <w:r w:rsidRPr="00BC669D">
              <w:rPr>
                <w:rFonts w:cs="Arial"/>
                <w:szCs w:val="20"/>
              </w:rPr>
              <w:t>0787702497</w:t>
            </w:r>
          </w:p>
        </w:tc>
      </w:tr>
    </w:tbl>
    <w:p w:rsidR="00827CA4" w:rsidRPr="00BC669D" w:rsidRDefault="00827CA4" w:rsidP="00BC669D">
      <w:pPr>
        <w:rPr>
          <w:rFonts w:cs="Arial"/>
          <w:szCs w:val="20"/>
        </w:rPr>
      </w:pPr>
    </w:p>
    <w:p w:rsidR="005B507C" w:rsidRPr="00BC669D" w:rsidRDefault="005B507C" w:rsidP="00BC669D">
      <w:pPr>
        <w:pStyle w:val="Kop5"/>
        <w:spacing w:before="0" w:after="0"/>
        <w:rPr>
          <w:rFonts w:cs="Arial"/>
          <w:szCs w:val="20"/>
        </w:rPr>
      </w:pPr>
      <w:r w:rsidRPr="00BC669D">
        <w:rPr>
          <w:rFonts w:cs="Arial"/>
          <w:szCs w:val="20"/>
        </w:rPr>
        <w:t>Onderwerp</w:t>
      </w:r>
    </w:p>
    <w:p w:rsidR="00BC669D" w:rsidRPr="00BC669D" w:rsidRDefault="00BC669D" w:rsidP="00BC669D">
      <w:pPr>
        <w:pStyle w:val="Standaard12"/>
        <w:rPr>
          <w:rFonts w:cs="Arial"/>
          <w:sz w:val="20"/>
          <w:szCs w:val="20"/>
          <w:u w:val="none"/>
        </w:rPr>
      </w:pPr>
      <w:r w:rsidRPr="00BC669D">
        <w:rPr>
          <w:rFonts w:cs="Arial"/>
          <w:sz w:val="20"/>
          <w:szCs w:val="20"/>
          <w:u w:val="none"/>
        </w:rPr>
        <w:t>Privacybeleid Drechtsteden en uitwerking invulling Functionaris Gegevensbescherming</w:t>
      </w:r>
    </w:p>
    <w:p w:rsidR="005B507C" w:rsidRPr="00BC669D" w:rsidRDefault="005B507C" w:rsidP="00BC669D">
      <w:pPr>
        <w:pStyle w:val="Standaard12"/>
        <w:rPr>
          <w:rFonts w:cs="Arial"/>
          <w:sz w:val="20"/>
          <w:szCs w:val="20"/>
          <w:u w:val="none"/>
        </w:rPr>
      </w:pPr>
    </w:p>
    <w:p w:rsidR="00850A06" w:rsidRPr="00BC669D" w:rsidRDefault="00850A06" w:rsidP="00BC669D">
      <w:pPr>
        <w:rPr>
          <w:rFonts w:cs="Arial"/>
          <w:b/>
          <w:szCs w:val="20"/>
        </w:rPr>
      </w:pPr>
      <w:r w:rsidRPr="00BC669D">
        <w:rPr>
          <w:rFonts w:cs="Arial"/>
          <w:b/>
          <w:szCs w:val="20"/>
        </w:rPr>
        <w:t>Voorstel</w:t>
      </w:r>
    </w:p>
    <w:p w:rsidR="00BC669D" w:rsidRPr="00BC669D" w:rsidRDefault="00BC669D" w:rsidP="00BC669D">
      <w:pPr>
        <w:pStyle w:val="Standaard12"/>
        <w:rPr>
          <w:rFonts w:cs="Arial"/>
          <w:sz w:val="20"/>
          <w:szCs w:val="20"/>
          <w:u w:val="none"/>
        </w:rPr>
      </w:pPr>
      <w:r w:rsidRPr="00BC669D">
        <w:rPr>
          <w:rFonts w:cs="Arial"/>
          <w:sz w:val="20"/>
          <w:szCs w:val="20"/>
          <w:u w:val="none"/>
        </w:rPr>
        <w:t xml:space="preserve">Voorgesteld wordt om: </w:t>
      </w:r>
    </w:p>
    <w:p w:rsidR="00BC669D" w:rsidRPr="00BC669D" w:rsidRDefault="00BC669D" w:rsidP="00BC669D">
      <w:pPr>
        <w:pStyle w:val="Standaard12"/>
        <w:numPr>
          <w:ilvl w:val="0"/>
          <w:numId w:val="24"/>
        </w:numPr>
        <w:ind w:left="360"/>
        <w:rPr>
          <w:rFonts w:cs="Arial"/>
          <w:sz w:val="20"/>
          <w:szCs w:val="20"/>
          <w:u w:val="none"/>
        </w:rPr>
      </w:pPr>
      <w:r w:rsidRPr="00BC669D">
        <w:rPr>
          <w:rFonts w:cs="Arial"/>
          <w:sz w:val="20"/>
          <w:szCs w:val="20"/>
          <w:u w:val="none"/>
        </w:rPr>
        <w:t>het Privacybeleid Drechtsteden te laten vaststellen door de eigen organisaties (de colleges resp. het DSB en de DB's van de GR OZHZ en de GR DG&amp;J);</w:t>
      </w:r>
    </w:p>
    <w:p w:rsidR="00BC669D" w:rsidRPr="00BC669D" w:rsidRDefault="00BC669D" w:rsidP="00BC669D">
      <w:pPr>
        <w:pStyle w:val="Standaard12"/>
        <w:rPr>
          <w:rFonts w:cs="Arial"/>
          <w:sz w:val="20"/>
          <w:szCs w:val="20"/>
          <w:u w:val="none"/>
        </w:rPr>
      </w:pPr>
    </w:p>
    <w:p w:rsidR="00BC669D" w:rsidRPr="00BC669D" w:rsidRDefault="00BC669D" w:rsidP="00BC669D">
      <w:pPr>
        <w:pStyle w:val="Standaard12"/>
        <w:numPr>
          <w:ilvl w:val="0"/>
          <w:numId w:val="24"/>
        </w:numPr>
        <w:ind w:left="360"/>
        <w:rPr>
          <w:rFonts w:cs="Arial"/>
          <w:sz w:val="20"/>
          <w:szCs w:val="20"/>
          <w:u w:val="none"/>
        </w:rPr>
      </w:pPr>
      <w:r w:rsidRPr="00BC669D">
        <w:rPr>
          <w:rFonts w:cs="Arial"/>
          <w:sz w:val="20"/>
          <w:szCs w:val="20"/>
          <w:u w:val="none"/>
        </w:rPr>
        <w:t>de begroting van het SCD via de 1e Bestuursrapportage 2018 met een bedrag van  € 455.728 te verhogen ten behoeve van het centraal organiseren van de Functionaris(sen) Gegevensbescherming Drechtsteden en FG-adviseurs. Dit conform de aanvullende bijdragen die gemeenten ten behoeve van deze taak bij zullen dragen;</w:t>
      </w:r>
    </w:p>
    <w:p w:rsidR="00BC669D" w:rsidRPr="00BC669D" w:rsidRDefault="00BC669D" w:rsidP="00BC669D">
      <w:pPr>
        <w:pStyle w:val="Standaard12"/>
        <w:rPr>
          <w:rFonts w:cs="Arial"/>
          <w:sz w:val="20"/>
          <w:szCs w:val="20"/>
          <w:u w:val="none"/>
        </w:rPr>
      </w:pPr>
    </w:p>
    <w:p w:rsidR="00BC669D" w:rsidRPr="00BC669D" w:rsidRDefault="00BC669D" w:rsidP="00BC669D">
      <w:pPr>
        <w:pStyle w:val="Standaard12"/>
        <w:numPr>
          <w:ilvl w:val="0"/>
          <w:numId w:val="24"/>
        </w:numPr>
        <w:ind w:left="360"/>
        <w:rPr>
          <w:rFonts w:cs="Arial"/>
          <w:sz w:val="20"/>
          <w:szCs w:val="20"/>
          <w:u w:val="none"/>
        </w:rPr>
      </w:pPr>
      <w:r w:rsidRPr="00BC669D">
        <w:rPr>
          <w:rFonts w:cs="Arial"/>
          <w:sz w:val="20"/>
          <w:szCs w:val="20"/>
          <w:u w:val="none"/>
        </w:rPr>
        <w:t>de colleges en de Dagelijks Besturen van de GR OZHZ en de GR DG&amp;J het DSB te laten mandateren voor het nemen van het aanwijzingsbesluit, om personen aan te wijzen als Functionaris Gegevensbescherming, conform het bijgevoegde concept mandaatbesluit. Dit zoals bedoeld in artikel 37 van de Algemene Verordening Gegevensbesch</w:t>
      </w:r>
      <w:r w:rsidR="00C06299">
        <w:rPr>
          <w:rFonts w:cs="Arial"/>
          <w:sz w:val="20"/>
          <w:szCs w:val="20"/>
          <w:u w:val="none"/>
        </w:rPr>
        <w:t>erming;</w:t>
      </w:r>
    </w:p>
    <w:p w:rsidR="00BC669D" w:rsidRPr="00BC669D" w:rsidRDefault="00BC669D" w:rsidP="00BC669D">
      <w:pPr>
        <w:pStyle w:val="Standaard12"/>
        <w:rPr>
          <w:rFonts w:cs="Arial"/>
          <w:sz w:val="20"/>
          <w:szCs w:val="20"/>
          <w:u w:val="none"/>
        </w:rPr>
      </w:pPr>
    </w:p>
    <w:p w:rsidR="00BC669D" w:rsidRPr="00BC669D" w:rsidRDefault="00BC669D" w:rsidP="00BC669D">
      <w:pPr>
        <w:pStyle w:val="Standaard12"/>
        <w:numPr>
          <w:ilvl w:val="0"/>
          <w:numId w:val="24"/>
        </w:numPr>
        <w:ind w:left="360"/>
        <w:rPr>
          <w:rFonts w:cs="Arial"/>
          <w:sz w:val="20"/>
          <w:szCs w:val="20"/>
          <w:u w:val="none"/>
        </w:rPr>
      </w:pPr>
      <w:r w:rsidRPr="00BC669D">
        <w:rPr>
          <w:rFonts w:cs="Arial"/>
          <w:sz w:val="20"/>
          <w:szCs w:val="20"/>
          <w:u w:val="none"/>
        </w:rPr>
        <w:t>ervoor zorg te dragen dat per organisatie een Privacy Coördinator als contramal voor de FG wordt aangewezen én dat taken die in relatie hiertoe lokaal moeten worden uitgevoerd worden belegd in de betreffende organisatie.</w:t>
      </w:r>
    </w:p>
    <w:p w:rsidR="00BC669D" w:rsidRPr="00BC669D" w:rsidRDefault="00BC669D" w:rsidP="00BC669D">
      <w:pPr>
        <w:pStyle w:val="Standaard12"/>
        <w:rPr>
          <w:rFonts w:cs="Arial"/>
          <w:sz w:val="20"/>
          <w:szCs w:val="20"/>
          <w:u w:val="none"/>
        </w:rPr>
      </w:pPr>
    </w:p>
    <w:p w:rsidR="00850A06" w:rsidRPr="00BC669D" w:rsidRDefault="00850A06" w:rsidP="00BC669D">
      <w:pPr>
        <w:rPr>
          <w:rFonts w:cs="Arial"/>
          <w:b/>
          <w:szCs w:val="20"/>
        </w:rPr>
      </w:pPr>
      <w:r w:rsidRPr="00BC669D">
        <w:rPr>
          <w:rFonts w:cs="Arial"/>
          <w:b/>
          <w:szCs w:val="20"/>
        </w:rPr>
        <w:t>Bevoegdheid</w:t>
      </w:r>
    </w:p>
    <w:p w:rsidR="00BC669D" w:rsidRPr="00BC669D" w:rsidRDefault="00BC669D" w:rsidP="00BC669D">
      <w:pPr>
        <w:pStyle w:val="Lijstalinea"/>
        <w:numPr>
          <w:ilvl w:val="0"/>
          <w:numId w:val="26"/>
        </w:numPr>
        <w:rPr>
          <w:rFonts w:cs="Arial"/>
          <w:szCs w:val="20"/>
        </w:rPr>
      </w:pPr>
      <w:r w:rsidRPr="00BC669D">
        <w:rPr>
          <w:rFonts w:cs="Arial"/>
          <w:szCs w:val="20"/>
        </w:rPr>
        <w:t xml:space="preserve">Colleges resp. het Drechtstedenbestuur, de Dagelijks Besturen voor het vaststellen van het </w:t>
      </w:r>
      <w:r w:rsidR="00DE286E">
        <w:rPr>
          <w:rFonts w:cs="Arial"/>
          <w:szCs w:val="20"/>
        </w:rPr>
        <w:t>privacybeleid;</w:t>
      </w:r>
    </w:p>
    <w:p w:rsidR="00850A06" w:rsidRPr="00BC669D" w:rsidRDefault="00BC669D" w:rsidP="00BC669D">
      <w:pPr>
        <w:pStyle w:val="Lijstalinea"/>
        <w:numPr>
          <w:ilvl w:val="0"/>
          <w:numId w:val="26"/>
        </w:numPr>
        <w:rPr>
          <w:rFonts w:cs="Arial"/>
          <w:szCs w:val="20"/>
        </w:rPr>
      </w:pPr>
      <w:r w:rsidRPr="00BC669D">
        <w:rPr>
          <w:rFonts w:cs="Arial"/>
          <w:szCs w:val="20"/>
        </w:rPr>
        <w:t xml:space="preserve">Colleges resp. de Dagelijks Besturen </w:t>
      </w:r>
      <w:r w:rsidR="00DE286E">
        <w:rPr>
          <w:rFonts w:cs="Arial"/>
          <w:szCs w:val="20"/>
        </w:rPr>
        <w:t>voor het mandateren van het DSB.</w:t>
      </w:r>
    </w:p>
    <w:p w:rsidR="00BC669D" w:rsidRPr="00BC669D" w:rsidRDefault="00BC669D" w:rsidP="00BC669D">
      <w:pPr>
        <w:pStyle w:val="Lijstalinea"/>
        <w:ind w:left="360"/>
        <w:rPr>
          <w:rFonts w:cs="Arial"/>
          <w:szCs w:val="20"/>
        </w:rPr>
      </w:pPr>
    </w:p>
    <w:p w:rsidR="001D63FF" w:rsidRPr="00BC669D" w:rsidRDefault="005B507C" w:rsidP="00BC669D">
      <w:pPr>
        <w:rPr>
          <w:rFonts w:cs="Arial"/>
          <w:b/>
          <w:szCs w:val="20"/>
        </w:rPr>
      </w:pPr>
      <w:r w:rsidRPr="00BC669D">
        <w:rPr>
          <w:rFonts w:cs="Arial"/>
          <w:b/>
          <w:szCs w:val="20"/>
        </w:rPr>
        <w:t>Samenvatting</w:t>
      </w:r>
    </w:p>
    <w:p w:rsidR="00BC669D" w:rsidRPr="00BC669D" w:rsidRDefault="00BC669D" w:rsidP="00BC669D">
      <w:pPr>
        <w:rPr>
          <w:rFonts w:cs="Arial"/>
          <w:szCs w:val="20"/>
        </w:rPr>
      </w:pPr>
      <w:r w:rsidRPr="00BC669D">
        <w:rPr>
          <w:rFonts w:cs="Arial"/>
          <w:szCs w:val="20"/>
        </w:rPr>
        <w:t>Vanaf 25 mei 2018 is de Algemene Verordening Gegevensbescherming van toepassing in de Europese Unie en geldt de Wet bescherming persoonsgegevens niet meer. Deze nieuwe verordening stelt strengere eisen en voorwaarden dan de We</w:t>
      </w:r>
      <w:r w:rsidR="00C06299">
        <w:rPr>
          <w:rFonts w:cs="Arial"/>
          <w:szCs w:val="20"/>
        </w:rPr>
        <w:t>t bescherming persoonsgegevens.</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De nieuwe wetgeving leidt voor gemeenten tot de concrete verplichting om (I) een Functionaris Gegevensbescherming (FG) aan te stellen. Daarnaast (II) zijn gemeenten per 25 mei 2018 verplicht om privacy beleid te hebben opgesteld en vastgesteld. Tot slot (III) dienen gemeenten in Nederland accountable te zijn, wat o.a. betekent dat zij moeten voldoen aan de beginselen van rechtmatigheid voor de verwerking van persoonsgegevens en dat zij dit kunnen aantonen (verantwoordingsplicht).</w:t>
      </w:r>
    </w:p>
    <w:p w:rsidR="00BC669D" w:rsidRPr="00BC669D" w:rsidRDefault="00BC669D" w:rsidP="00BC669D">
      <w:pPr>
        <w:rPr>
          <w:rFonts w:cs="Arial"/>
          <w:szCs w:val="20"/>
        </w:rPr>
      </w:pPr>
    </w:p>
    <w:p w:rsidR="00E861E2" w:rsidRPr="00BC669D" w:rsidRDefault="00BC669D" w:rsidP="00BC669D">
      <w:pPr>
        <w:rPr>
          <w:rFonts w:cs="Arial"/>
          <w:szCs w:val="20"/>
        </w:rPr>
      </w:pPr>
      <w:r w:rsidRPr="00BC669D">
        <w:rPr>
          <w:rFonts w:cs="Arial"/>
          <w:szCs w:val="20"/>
        </w:rPr>
        <w:t>Dit voorstel bevat de uitwerking van de voornoemde punten, om hiermee op een sobere en doelmatige wijze als gemeenten en verbonden partijen gesteld te staan voor deze nieuwe Europese wetgeving. Omdat er in heel het land nog geen ervaring is met deze nieuwe verplichtingen en hieruit voortkomende taken, wordt geadviseerd om de situatie nauwlettend te volgen en deze in ieder geval ieder half jaar te evalueren.</w:t>
      </w:r>
    </w:p>
    <w:p w:rsidR="00BC669D" w:rsidRDefault="00BC669D">
      <w:pPr>
        <w:rPr>
          <w:rFonts w:cs="Arial"/>
          <w:b/>
          <w:color w:val="2F5496" w:themeColor="accent5" w:themeShade="BF"/>
          <w:szCs w:val="20"/>
        </w:rPr>
      </w:pPr>
      <w:r>
        <w:rPr>
          <w:rFonts w:cs="Arial"/>
          <w:b/>
          <w:color w:val="2F5496" w:themeColor="accent5" w:themeShade="BF"/>
          <w:szCs w:val="20"/>
        </w:rPr>
        <w:br w:type="page"/>
      </w:r>
    </w:p>
    <w:p w:rsidR="007E6B8C" w:rsidRPr="00BC669D" w:rsidRDefault="001D63FF" w:rsidP="00BC669D">
      <w:pPr>
        <w:rPr>
          <w:rFonts w:cs="Arial"/>
          <w:b/>
          <w:color w:val="2F5496" w:themeColor="accent5" w:themeShade="BF"/>
          <w:szCs w:val="20"/>
        </w:rPr>
      </w:pPr>
      <w:r w:rsidRPr="00BC669D">
        <w:rPr>
          <w:rFonts w:cs="Arial"/>
          <w:b/>
          <w:color w:val="2F5496" w:themeColor="accent5" w:themeShade="BF"/>
          <w:szCs w:val="20"/>
        </w:rPr>
        <w:lastRenderedPageBreak/>
        <w:t>Toelichting op het voorstel</w:t>
      </w:r>
    </w:p>
    <w:p w:rsidR="00BC669D" w:rsidRPr="00BC669D" w:rsidRDefault="00BC669D" w:rsidP="00BC669D">
      <w:pPr>
        <w:rPr>
          <w:rFonts w:cs="Arial"/>
          <w:b/>
          <w:szCs w:val="20"/>
        </w:rPr>
      </w:pPr>
      <w:r w:rsidRPr="00BC669D">
        <w:rPr>
          <w:rFonts w:cs="Arial"/>
          <w:b/>
          <w:szCs w:val="20"/>
        </w:rPr>
        <w:t>Aanleiding</w:t>
      </w:r>
    </w:p>
    <w:p w:rsidR="00BC669D" w:rsidRPr="00BC669D" w:rsidRDefault="00BC669D" w:rsidP="00BC669D">
      <w:pPr>
        <w:tabs>
          <w:tab w:val="left" w:pos="7630"/>
        </w:tabs>
        <w:rPr>
          <w:rFonts w:cs="Arial"/>
          <w:szCs w:val="20"/>
        </w:rPr>
      </w:pPr>
      <w:r w:rsidRPr="00BC669D">
        <w:rPr>
          <w:rFonts w:cs="Arial"/>
          <w:szCs w:val="20"/>
        </w:rPr>
        <w:t xml:space="preserve">Op 4 juli 2017 is de perspectiefnota 2018 in de Drechtraad aan de orde geweest. In de Perspectiefnota werden voorstellen gedaan voor de geactualiseerde begroting 2018. Een aantal onderwerpen zijn bij de perspectiefnota 2018 niet als intensiveringsvoorstel aan de orde gekomen, waaronder de Informatieveiligheid en Privacy. </w:t>
      </w:r>
    </w:p>
    <w:p w:rsidR="00BC669D" w:rsidRPr="00BC669D" w:rsidRDefault="00BC669D" w:rsidP="00BC669D">
      <w:pPr>
        <w:tabs>
          <w:tab w:val="left" w:pos="7630"/>
        </w:tabs>
        <w:rPr>
          <w:rFonts w:cs="Arial"/>
          <w:szCs w:val="20"/>
        </w:rPr>
      </w:pPr>
    </w:p>
    <w:p w:rsidR="00BC669D" w:rsidRPr="00BC669D" w:rsidRDefault="00BC669D" w:rsidP="00BC669D">
      <w:pPr>
        <w:tabs>
          <w:tab w:val="left" w:pos="7630"/>
        </w:tabs>
        <w:rPr>
          <w:rFonts w:cs="Arial"/>
          <w:szCs w:val="20"/>
        </w:rPr>
      </w:pPr>
      <w:r w:rsidRPr="00BC669D">
        <w:rPr>
          <w:rFonts w:cs="Arial"/>
          <w:szCs w:val="20"/>
        </w:rPr>
        <w:t>In het bestuurlijke traject van de perspectiefnota 2018 heeft Portefeuillehouder Flach echter wel aangekondigd dat deze wettelijke en onontkoombare ontwikkeling op het gebied van Informatieveiligheid en Privacy er nog aan zat te komen. Hierop heeft hij ook  aangekondigd dat deze onderwerpen op een later moment zouden worden voorgelegd. Dit voorstel geeft invulling aan deze aankondiging.</w:t>
      </w:r>
    </w:p>
    <w:p w:rsidR="00BC669D" w:rsidRPr="00BC669D" w:rsidRDefault="00BC669D" w:rsidP="00BC669D">
      <w:pPr>
        <w:tabs>
          <w:tab w:val="left" w:pos="7630"/>
        </w:tabs>
        <w:rPr>
          <w:rFonts w:cs="Arial"/>
          <w:szCs w:val="20"/>
        </w:rPr>
      </w:pPr>
    </w:p>
    <w:p w:rsidR="00BC669D" w:rsidRPr="00BC669D" w:rsidRDefault="00BC669D" w:rsidP="00BC669D">
      <w:pPr>
        <w:tabs>
          <w:tab w:val="left" w:pos="7630"/>
        </w:tabs>
        <w:rPr>
          <w:rFonts w:cs="Arial"/>
          <w:szCs w:val="20"/>
        </w:rPr>
      </w:pPr>
      <w:r w:rsidRPr="00BC669D">
        <w:rPr>
          <w:rFonts w:cs="Arial"/>
          <w:szCs w:val="20"/>
        </w:rPr>
        <w:t xml:space="preserve">De wettelijk onontkoombare ontwikkeling heeft betrekking op de Algemene Verordening Gegevensbescherming (AVG) die per 25 mei 2018 van toepassing is. Vanaf die datum geldt dezelfde privacywetgeving in de hele Europese Unie. De Wet bescherming persoonsgegevens (Wbp) geldt dan niet meer. De AVG stelt strengere eisen en voorwaarden dan de Wbp.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 xml:space="preserve">Een van de verplichtingen die voor de Drechtstedengemeenten en voor de openbare lichamen (GR-en) voortvloeit uit de AVG is het aanwijzen van een Functionaris Gegevensbescherming (FG). In het Netwerk MT Middelen </w:t>
      </w:r>
      <w:r w:rsidR="00E41CE7">
        <w:rPr>
          <w:rFonts w:cs="Arial"/>
          <w:szCs w:val="20"/>
        </w:rPr>
        <w:t>en het ONS-D</w:t>
      </w:r>
      <w:r w:rsidRPr="00BC669D">
        <w:rPr>
          <w:rFonts w:cs="Arial"/>
          <w:szCs w:val="20"/>
        </w:rPr>
        <w:t xml:space="preserve"> is besproken om deze FG centraal bij de GRD/SCD te organiseren en </w:t>
      </w:r>
      <w:r w:rsidR="009A41FB">
        <w:rPr>
          <w:rFonts w:cs="Arial"/>
          <w:szCs w:val="20"/>
        </w:rPr>
        <w:t>is</w:t>
      </w:r>
      <w:r w:rsidR="00E41CE7">
        <w:rPr>
          <w:rFonts w:cs="Arial"/>
          <w:szCs w:val="20"/>
        </w:rPr>
        <w:t xml:space="preserve"> door de gemeenten aan het SCD</w:t>
      </w:r>
      <w:r w:rsidR="009A41FB">
        <w:rPr>
          <w:rFonts w:cs="Arial"/>
          <w:szCs w:val="20"/>
        </w:rPr>
        <w:t xml:space="preserve"> </w:t>
      </w:r>
      <w:r w:rsidRPr="00BC669D">
        <w:rPr>
          <w:rFonts w:cs="Arial"/>
          <w:szCs w:val="20"/>
        </w:rPr>
        <w:t xml:space="preserve">gevraagd </w:t>
      </w:r>
      <w:r w:rsidR="00E41CE7">
        <w:rPr>
          <w:rFonts w:cs="Arial"/>
          <w:szCs w:val="20"/>
        </w:rPr>
        <w:t xml:space="preserve">om </w:t>
      </w:r>
      <w:r w:rsidRPr="00BC669D">
        <w:rPr>
          <w:rFonts w:cs="Arial"/>
          <w:szCs w:val="20"/>
        </w:rPr>
        <w:t xml:space="preserve">dit nader uit te werken. Een andere verplichting die voortvloeit uit de AVG is het hebben van een privacybeleid.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In dit voorstel treft u de (financiële) uitwerking van het centraal organiseren van de FG aan (onder I) en vindt u een concept voorstel voor het Privacybeleid Drechtsteden (zie II van dit voorstel). Ook vindt u een ontwerp mandaatbesluit dat door de gemeenten en Gemeenschappelijke Regelingen kan worden gebruik ten behoeve van de benodigde bestuurlijke besluitvorming.</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De voornoemde voorstellen ten behoeve van de naleving van de verplichtingen uit de AVG zijn een uitwerking van het project Privacy Compliance. In bijlage 1 treft u een overzicht aan van de bouwstenen die in het kader van dit project worden opgepakt en van welke bouwstenen dit voorstel een uitwerking is.</w:t>
      </w:r>
    </w:p>
    <w:p w:rsidR="00BC669D" w:rsidRPr="00BC669D" w:rsidRDefault="00BC669D" w:rsidP="00BC669D">
      <w:pPr>
        <w:rPr>
          <w:rFonts w:cs="Arial"/>
          <w:szCs w:val="20"/>
        </w:rPr>
      </w:pPr>
    </w:p>
    <w:p w:rsidR="00BC669D" w:rsidRPr="00BC669D" w:rsidRDefault="00BC669D" w:rsidP="00BC669D">
      <w:pPr>
        <w:rPr>
          <w:rFonts w:cs="Arial"/>
          <w:b/>
          <w:szCs w:val="20"/>
        </w:rPr>
      </w:pPr>
      <w:r w:rsidRPr="00BC669D">
        <w:rPr>
          <w:rFonts w:cs="Arial"/>
          <w:b/>
          <w:szCs w:val="20"/>
        </w:rPr>
        <w:t xml:space="preserve">De Algemene Verordening Gegevensbescherming </w:t>
      </w:r>
    </w:p>
    <w:p w:rsidR="00BC669D" w:rsidRPr="00BC669D" w:rsidRDefault="00BC669D" w:rsidP="00BC669D">
      <w:pPr>
        <w:rPr>
          <w:rFonts w:cs="Arial"/>
          <w:i/>
          <w:szCs w:val="20"/>
        </w:rPr>
      </w:pPr>
      <w:r w:rsidRPr="00BC669D">
        <w:rPr>
          <w:rFonts w:cs="Arial"/>
          <w:i/>
          <w:szCs w:val="20"/>
        </w:rPr>
        <w:t>Nieuwe wetgeving gegevensbescherming</w:t>
      </w:r>
    </w:p>
    <w:p w:rsidR="00BC669D" w:rsidRPr="00BC669D" w:rsidRDefault="00BC669D" w:rsidP="00BC669D">
      <w:pPr>
        <w:rPr>
          <w:rFonts w:cs="Arial"/>
          <w:szCs w:val="20"/>
        </w:rPr>
      </w:pPr>
      <w:r w:rsidRPr="00BC669D">
        <w:rPr>
          <w:rFonts w:cs="Arial"/>
          <w:szCs w:val="20"/>
        </w:rPr>
        <w:t xml:space="preserve">De basis voor de wetgeving op gegevensbescherming wordt gevormd door het grondrecht op privacy. In 1995 is de eerste wetgeving rondom gegevensbescherming ontstaan, in 2001 is de Wet bescherming persoonsgegevens (wbp) vastgesteld. In 2016 is de verplichte melding van datalekken ingegaan.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 xml:space="preserve">Vanwege de toename aan (digitale) gegevensuitwisseling tussen landen, is op Europees niveau besloten om te komen tot een Europese wetgeving met betrekking tot gegevensbescherming die in alle Europese landen hetzelfde is.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Doel van deze wetgeving is om het niveau van de gegevensbescherming in alle landen op hetzelfde niveau te trekken. Ook wordt met de wetgeving getracht dat bij de overdracht van gegevens geen rekening hoeft te worden gehouden met verschillende land specifieke wetgevingen op privacy gebied.</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 xml:space="preserve">Deze Europese wetgeving waarover in 2016 is besloten betreft de </w:t>
      </w:r>
      <w:r w:rsidRPr="00BC669D">
        <w:rPr>
          <w:rFonts w:cs="Arial"/>
          <w:i/>
          <w:szCs w:val="20"/>
        </w:rPr>
        <w:t>General Data Protection Regulation</w:t>
      </w:r>
      <w:r w:rsidRPr="00BC669D">
        <w:rPr>
          <w:rFonts w:cs="Arial"/>
          <w:szCs w:val="20"/>
        </w:rPr>
        <w:t xml:space="preserve"> of in Nederlandse termen de </w:t>
      </w:r>
      <w:r w:rsidRPr="00BC669D">
        <w:rPr>
          <w:rFonts w:cs="Arial"/>
          <w:i/>
          <w:szCs w:val="20"/>
        </w:rPr>
        <w:t>Algemene Verordening Gegevensbescherming</w:t>
      </w:r>
      <w:r w:rsidRPr="00BC669D">
        <w:rPr>
          <w:rFonts w:cs="Arial"/>
          <w:szCs w:val="20"/>
        </w:rPr>
        <w:t>. Er is in 2016 over deze wetgeving besloten, waarbij de regelgeving per 25 mei 2018 van toepassing zal zijn.</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Voorgaande betekent dat gemeenten twee jaar de tijd hebben gehad om zich op deze wetgeving en handhaving hiervan voor te bereiden én dat zij vanaf 25 mei ook aan de wetgeving zullen worden gehouden.</w:t>
      </w:r>
    </w:p>
    <w:p w:rsidR="00BC669D" w:rsidRPr="00BC669D" w:rsidRDefault="00BC669D" w:rsidP="00BC669D">
      <w:pPr>
        <w:rPr>
          <w:rFonts w:cs="Arial"/>
          <w:szCs w:val="20"/>
        </w:rPr>
      </w:pPr>
    </w:p>
    <w:p w:rsidR="00BC669D" w:rsidRPr="00BC669D" w:rsidRDefault="00BC669D" w:rsidP="00BC669D">
      <w:pPr>
        <w:rPr>
          <w:rFonts w:cs="Arial"/>
          <w:i/>
          <w:szCs w:val="20"/>
        </w:rPr>
      </w:pPr>
      <w:r w:rsidRPr="00BC669D">
        <w:rPr>
          <w:rFonts w:cs="Arial"/>
          <w:i/>
          <w:szCs w:val="20"/>
        </w:rPr>
        <w:t>Belangrijkste gevolgen AVG</w:t>
      </w:r>
    </w:p>
    <w:p w:rsidR="00BC669D" w:rsidRPr="00BC669D" w:rsidRDefault="00BC669D" w:rsidP="00BC669D">
      <w:pPr>
        <w:rPr>
          <w:rFonts w:cs="Arial"/>
          <w:szCs w:val="20"/>
        </w:rPr>
      </w:pPr>
      <w:r w:rsidRPr="00BC669D">
        <w:rPr>
          <w:rFonts w:cs="Arial"/>
          <w:szCs w:val="20"/>
        </w:rPr>
        <w:t>Het grootste versch</w:t>
      </w:r>
      <w:r w:rsidR="009A41FB">
        <w:rPr>
          <w:rFonts w:cs="Arial"/>
          <w:szCs w:val="20"/>
        </w:rPr>
        <w:t xml:space="preserve">il tussen wbp en de AVG, is dat </w:t>
      </w:r>
      <w:r w:rsidRPr="00BC669D">
        <w:rPr>
          <w:rFonts w:cs="Arial"/>
          <w:szCs w:val="20"/>
        </w:rPr>
        <w:t>de AVG zorgt voor (1) meer versterking en uitbreiding van privacyrechten, (2) meer verantwoordelijkheden voor organisaties</w:t>
      </w:r>
      <w:r w:rsidR="009A41FB">
        <w:rPr>
          <w:rFonts w:cs="Arial"/>
          <w:szCs w:val="20"/>
        </w:rPr>
        <w:t xml:space="preserve"> én</w:t>
      </w:r>
      <w:r w:rsidRPr="00BC669D">
        <w:rPr>
          <w:rFonts w:cs="Arial"/>
          <w:szCs w:val="20"/>
        </w:rPr>
        <w:t xml:space="preserve"> (3) stevige bevoegdheden voor alle Europese privacy toezichthouders om boetes tot € 20 miljoen op te leggen.</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lastRenderedPageBreak/>
        <w:t>Daarnaast wordt voor het eerst accountability geëist. Dit betekent dat je vanaf 25 mei 2018 aan moet kunnen tonen dat de verplichte registers op orde zijn en dat de functionaris gegevensbescherming (FG) is aangesteld.</w:t>
      </w:r>
    </w:p>
    <w:p w:rsidR="00BC669D" w:rsidRPr="00BC669D" w:rsidRDefault="00BC669D" w:rsidP="00BC669D">
      <w:pPr>
        <w:rPr>
          <w:rFonts w:cs="Arial"/>
          <w:szCs w:val="20"/>
        </w:rPr>
      </w:pPr>
    </w:p>
    <w:p w:rsidR="00BC669D" w:rsidRPr="00BC669D" w:rsidRDefault="00BC669D" w:rsidP="00BC669D">
      <w:pPr>
        <w:rPr>
          <w:rFonts w:cs="Arial"/>
          <w:i/>
          <w:szCs w:val="20"/>
        </w:rPr>
      </w:pPr>
      <w:r w:rsidRPr="00BC669D">
        <w:rPr>
          <w:rFonts w:cs="Arial"/>
          <w:i/>
          <w:szCs w:val="20"/>
        </w:rPr>
        <w:t>Proces in aanloop naar 25 mei 2018</w:t>
      </w:r>
    </w:p>
    <w:p w:rsidR="00BC669D" w:rsidRPr="00BC669D" w:rsidRDefault="00BC669D" w:rsidP="00BC669D">
      <w:pPr>
        <w:rPr>
          <w:rFonts w:cs="Arial"/>
          <w:szCs w:val="20"/>
        </w:rPr>
      </w:pPr>
      <w:r w:rsidRPr="00BC669D">
        <w:rPr>
          <w:rFonts w:cs="Arial"/>
          <w:szCs w:val="20"/>
        </w:rPr>
        <w:t xml:space="preserve">De aangescherpte wetgeving, handhaving, effecten én (verplichte) taken die voort komen uit de AVG zijn voor alle gemeenten en organisaties die hiermee te maken krijgen nieuw. Bovendien is ondersteuning van de invulling hiervan door de toezichthoudende autoriteit minimaal én is de betreffende uitvoeringswet pas sinds kort (in concept) openbaar.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Dit heeft er toe geleid dat alle gemeenten en andere betrokken organisaties erg op zichzelf zijn aangewezen om te bedenken hoe zij deze wetgeving in de praktijk uit kunnen voeren.</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In deze zoektocht hebben wij vanuit de Drechtsteden zoveel mogelijk samen opgetrokken met andere gemeenten, waaronder de gemeenten Rotterdam, Den Haag, Eindhoven en Venlo. Mede vanuit deze samenwerking zijn wij gekomen tot het voorliggende voorstel, dat in grote mate overeen komt met de wijze waarop deze andere gemeenten met dezelfde privacy vraagstukken omgaan.</w:t>
      </w:r>
    </w:p>
    <w:p w:rsidR="00BC669D" w:rsidRPr="00BC669D" w:rsidRDefault="00BC669D" w:rsidP="00BC669D">
      <w:pPr>
        <w:rPr>
          <w:rFonts w:cs="Arial"/>
          <w:i/>
          <w:szCs w:val="20"/>
        </w:rPr>
      </w:pPr>
    </w:p>
    <w:p w:rsidR="00BC669D" w:rsidRPr="00BC669D" w:rsidRDefault="00BC669D" w:rsidP="00BC669D">
      <w:pPr>
        <w:rPr>
          <w:rFonts w:cs="Arial"/>
          <w:i/>
          <w:szCs w:val="20"/>
        </w:rPr>
      </w:pPr>
      <w:r w:rsidRPr="00BC669D">
        <w:rPr>
          <w:rFonts w:cs="Arial"/>
          <w:i/>
          <w:szCs w:val="20"/>
        </w:rPr>
        <w:t>Nieuwe wettelijke verplichting en taken voor gemeenten naar aanleiding van de AVG</w:t>
      </w:r>
    </w:p>
    <w:p w:rsidR="00BC669D" w:rsidRDefault="00BC669D" w:rsidP="00BC669D">
      <w:pPr>
        <w:rPr>
          <w:rFonts w:cs="Arial"/>
          <w:szCs w:val="20"/>
        </w:rPr>
      </w:pPr>
      <w:r w:rsidRPr="00BC669D">
        <w:rPr>
          <w:rFonts w:cs="Arial"/>
          <w:szCs w:val="20"/>
        </w:rPr>
        <w:t xml:space="preserve">De nieuwe wetgeving leidt voor gemeenten tot de concrete verplichting om (I) een Functionaris Gegevensbescherming (FG) aan te stellen. Daarnaast (II) zijn gemeenten per 25 mei 2018 verplicht om privacy beleid te hebben opgesteld en vastgesteld. </w:t>
      </w:r>
    </w:p>
    <w:p w:rsid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Tot slot (III) dienen gemeenten in Nederland accountable te zijn, wat o.a. betekent dat zij moeten voldoen aan de beginselen van rechtmatigheid voor de verwerking van persoonsgegevens en dat zij dit kunnen aantonen (verantwoordingsplicht).</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 xml:space="preserve">Hieronder gaan wij in op deze drie verplichtingen en doen wij een voorstel hoe om te gaan met deze drie verplichtingen. Dit met inachtneming van het verzoek van </w:t>
      </w:r>
      <w:r w:rsidR="00E41CE7">
        <w:rPr>
          <w:rFonts w:cs="Arial"/>
          <w:szCs w:val="20"/>
        </w:rPr>
        <w:t>de gemeenten</w:t>
      </w:r>
      <w:r w:rsidRPr="00BC669D">
        <w:rPr>
          <w:rFonts w:cs="Arial"/>
          <w:szCs w:val="20"/>
        </w:rPr>
        <w:t xml:space="preserve"> om de nieuwe taken van de FG centraal bij de GRD/SCD te organiseren.</w:t>
      </w:r>
    </w:p>
    <w:p w:rsidR="00BC669D" w:rsidRPr="00BC669D" w:rsidRDefault="00BC669D" w:rsidP="00BC669D">
      <w:pPr>
        <w:rPr>
          <w:rFonts w:cs="Arial"/>
          <w:szCs w:val="20"/>
        </w:rPr>
      </w:pPr>
    </w:p>
    <w:p w:rsidR="00BC669D" w:rsidRPr="00BC669D" w:rsidRDefault="00BC669D" w:rsidP="00BC669D">
      <w:pPr>
        <w:pStyle w:val="Lijstalinea"/>
        <w:ind w:left="0"/>
        <w:rPr>
          <w:rFonts w:cs="Arial"/>
          <w:b/>
          <w:szCs w:val="20"/>
        </w:rPr>
      </w:pPr>
      <w:r w:rsidRPr="00BC669D">
        <w:rPr>
          <w:rFonts w:cs="Arial"/>
          <w:b/>
          <w:szCs w:val="20"/>
        </w:rPr>
        <w:t xml:space="preserve">I. Invulling wettelijke verplichting Functionaris Gegevensbescherming &amp; III. accountable zijn </w:t>
      </w:r>
    </w:p>
    <w:p w:rsidR="00BC669D" w:rsidRPr="00BC669D" w:rsidRDefault="00BC669D" w:rsidP="00BC669D">
      <w:pPr>
        <w:rPr>
          <w:rFonts w:cs="Arial"/>
          <w:i/>
          <w:color w:val="2E74B5" w:themeColor="accent1" w:themeShade="BF"/>
          <w:szCs w:val="20"/>
        </w:rPr>
      </w:pPr>
      <w:r w:rsidRPr="00BC669D">
        <w:rPr>
          <w:rFonts w:cs="Arial"/>
          <w:i/>
          <w:color w:val="2E74B5" w:themeColor="accent1" w:themeShade="BF"/>
          <w:szCs w:val="20"/>
        </w:rPr>
        <w:t>Wat doet de Functionaris Gegevensbescherming?</w:t>
      </w:r>
    </w:p>
    <w:p w:rsidR="00BC669D" w:rsidRPr="00BC669D" w:rsidRDefault="00BC669D" w:rsidP="00BC669D">
      <w:pPr>
        <w:rPr>
          <w:rFonts w:cs="Arial"/>
          <w:szCs w:val="20"/>
        </w:rPr>
      </w:pPr>
      <w:r w:rsidRPr="00BC669D">
        <w:rPr>
          <w:rFonts w:cs="Arial"/>
          <w:szCs w:val="20"/>
        </w:rPr>
        <w:t>De FG is de interne (onafhankelijke) toezichthouder op gebied van privacy en op de verwerking van persoonsgegevens. De FG dient in alle onafhankelijkheid zijn werkzaamheden te kunnen uitvoeren en ontvangt daarbij geen instructies van opdrachtgevers of verwerkers. Hij is aangemeld bij d</w:t>
      </w:r>
      <w:r w:rsidR="009A41FB">
        <w:rPr>
          <w:rFonts w:cs="Arial"/>
          <w:szCs w:val="20"/>
        </w:rPr>
        <w:t>e Autoriteit Persoonsgegevens (</w:t>
      </w:r>
      <w:r w:rsidRPr="00BC669D">
        <w:rPr>
          <w:rFonts w:cs="Arial"/>
          <w:szCs w:val="20"/>
        </w:rPr>
        <w:t>AP) als contactpersoon en aanspreekpunt voor de meldingen van datalekken. Hij functioneert als tussenpersoon tussen verschillende belanghebbenden en is daarmee ook verlengstuk van de AP.</w:t>
      </w:r>
    </w:p>
    <w:p w:rsidR="00BC669D" w:rsidRPr="00BC669D" w:rsidRDefault="00BC669D" w:rsidP="00BC669D">
      <w:pPr>
        <w:tabs>
          <w:tab w:val="left" w:pos="7630"/>
        </w:tabs>
        <w:rPr>
          <w:rFonts w:cs="Arial"/>
          <w:szCs w:val="20"/>
        </w:rPr>
      </w:pPr>
    </w:p>
    <w:p w:rsidR="00BC669D" w:rsidRPr="00BC669D" w:rsidRDefault="00BC669D" w:rsidP="00BC669D">
      <w:pPr>
        <w:rPr>
          <w:rFonts w:cs="Arial"/>
          <w:szCs w:val="20"/>
        </w:rPr>
      </w:pPr>
      <w:r w:rsidRPr="00BC669D">
        <w:rPr>
          <w:rFonts w:cs="Arial"/>
          <w:iCs/>
          <w:szCs w:val="20"/>
        </w:rPr>
        <w:t xml:space="preserve">De FG heeft een aparte positie in de organisatie, zoals vastgelegd in artikel 38 van de AVG. De FG dient toezicht te houden op de accountability van de organisaties en </w:t>
      </w:r>
      <w:r w:rsidRPr="00BC669D">
        <w:rPr>
          <w:rFonts w:cs="Arial"/>
          <w:szCs w:val="20"/>
        </w:rPr>
        <w:t>toetst de toepassing van het Privacybeleid door de verschillende organisaties. Hij treedt daarnaast op als adviseur op beleidsniveau. De FG heeft het recht op toegang tot alle informatie, systemen en processen waarin privacygegevens een rol (kunnen) spelen. De FG geniet ontslagbescherming en doet zijn werk vrij van last en opdracht.</w:t>
      </w:r>
    </w:p>
    <w:p w:rsidR="00BC669D" w:rsidRPr="00BC669D" w:rsidRDefault="00BC669D" w:rsidP="00BC669D">
      <w:pPr>
        <w:rPr>
          <w:rFonts w:cs="Arial"/>
          <w:szCs w:val="20"/>
        </w:rPr>
      </w:pPr>
    </w:p>
    <w:p w:rsidR="00BC669D" w:rsidRPr="00BC669D" w:rsidRDefault="00BC669D" w:rsidP="00BC669D">
      <w:pPr>
        <w:tabs>
          <w:tab w:val="left" w:pos="7630"/>
        </w:tabs>
        <w:rPr>
          <w:rFonts w:cs="Arial"/>
          <w:szCs w:val="20"/>
        </w:rPr>
      </w:pPr>
      <w:r w:rsidRPr="00BC669D">
        <w:rPr>
          <w:rFonts w:cs="Arial"/>
          <w:szCs w:val="20"/>
        </w:rPr>
        <w:t xml:space="preserve">De FG wordt bij de werkzaamheden bijgestaan door juridische adviseurs/ondersteuners. De uitvoerende taken op </w:t>
      </w:r>
      <w:r w:rsidR="009A41FB">
        <w:rPr>
          <w:rFonts w:cs="Arial"/>
          <w:szCs w:val="20"/>
        </w:rPr>
        <w:t xml:space="preserve">het </w:t>
      </w:r>
      <w:r w:rsidRPr="00BC669D">
        <w:rPr>
          <w:rFonts w:cs="Arial"/>
          <w:szCs w:val="20"/>
        </w:rPr>
        <w:t>gebied van Privacy Compliance worden per organisatie lokaal ingevuld door Privacy Coördinatoren. De Privacy Coördinatoren leggen verantwoording af aan de FG en rapporteren periodiek aan de FG over privacy vraagstukken en over de afhandeling van datalekken. De FG ziet toe op de rechten van betrokkenen. Daarnaast is de FG verantwoordelijk voor het beheer van de volgende verplichte registers:</w:t>
      </w:r>
    </w:p>
    <w:p w:rsidR="00BC669D" w:rsidRPr="00BC669D" w:rsidRDefault="00BC669D" w:rsidP="00BC669D">
      <w:pPr>
        <w:pStyle w:val="Lijstalinea"/>
        <w:numPr>
          <w:ilvl w:val="0"/>
          <w:numId w:val="27"/>
        </w:numPr>
        <w:tabs>
          <w:tab w:val="left" w:pos="709"/>
          <w:tab w:val="left" w:pos="7630"/>
        </w:tabs>
        <w:ind w:left="709" w:hanging="349"/>
        <w:rPr>
          <w:rFonts w:cs="Arial"/>
          <w:szCs w:val="20"/>
        </w:rPr>
      </w:pPr>
      <w:r w:rsidRPr="00BC669D">
        <w:rPr>
          <w:rFonts w:cs="Arial"/>
          <w:szCs w:val="20"/>
        </w:rPr>
        <w:t>Register van verwerkingen, met aantekeningen van PIA's;</w:t>
      </w:r>
    </w:p>
    <w:p w:rsidR="00BC669D" w:rsidRPr="00BC669D" w:rsidRDefault="00BC669D" w:rsidP="00BC669D">
      <w:pPr>
        <w:pStyle w:val="Lijstalinea"/>
        <w:numPr>
          <w:ilvl w:val="0"/>
          <w:numId w:val="27"/>
        </w:numPr>
        <w:tabs>
          <w:tab w:val="left" w:pos="709"/>
          <w:tab w:val="left" w:pos="7630"/>
        </w:tabs>
        <w:ind w:left="709" w:hanging="349"/>
        <w:rPr>
          <w:rFonts w:cs="Arial"/>
          <w:szCs w:val="20"/>
        </w:rPr>
      </w:pPr>
      <w:r w:rsidRPr="00BC669D">
        <w:rPr>
          <w:rFonts w:cs="Arial"/>
          <w:szCs w:val="20"/>
        </w:rPr>
        <w:t>Register van verwerkersovereenkomsten, convenanten en privacy protocollen;</w:t>
      </w:r>
    </w:p>
    <w:p w:rsidR="00BC669D" w:rsidRPr="00BC669D" w:rsidRDefault="00BC669D" w:rsidP="00BC669D">
      <w:pPr>
        <w:pStyle w:val="Lijstalinea"/>
        <w:numPr>
          <w:ilvl w:val="0"/>
          <w:numId w:val="27"/>
        </w:numPr>
        <w:tabs>
          <w:tab w:val="left" w:pos="709"/>
          <w:tab w:val="left" w:pos="7630"/>
        </w:tabs>
        <w:ind w:left="709" w:hanging="349"/>
        <w:rPr>
          <w:rFonts w:cs="Arial"/>
          <w:szCs w:val="20"/>
        </w:rPr>
      </w:pPr>
      <w:r w:rsidRPr="00BC669D">
        <w:rPr>
          <w:rFonts w:cs="Arial"/>
          <w:szCs w:val="20"/>
        </w:rPr>
        <w:t>Register van inbreuken op persoonsgegevens, datalekken;</w:t>
      </w:r>
    </w:p>
    <w:p w:rsidR="00BC669D" w:rsidRPr="00BC669D" w:rsidRDefault="00BC669D" w:rsidP="00BC669D">
      <w:pPr>
        <w:pStyle w:val="Lijstalinea"/>
        <w:numPr>
          <w:ilvl w:val="0"/>
          <w:numId w:val="27"/>
        </w:numPr>
        <w:tabs>
          <w:tab w:val="left" w:pos="709"/>
          <w:tab w:val="left" w:pos="7630"/>
        </w:tabs>
        <w:ind w:left="709" w:hanging="349"/>
        <w:rPr>
          <w:rFonts w:cs="Arial"/>
          <w:szCs w:val="20"/>
        </w:rPr>
      </w:pPr>
      <w:r w:rsidRPr="00BC669D">
        <w:rPr>
          <w:rFonts w:cs="Arial"/>
          <w:szCs w:val="20"/>
        </w:rPr>
        <w:t xml:space="preserve">Register voor aanvragen en uitvoering van de procedures voor betrokkenen. </w:t>
      </w:r>
    </w:p>
    <w:p w:rsidR="00BC669D" w:rsidRPr="00BC669D" w:rsidRDefault="00BC669D" w:rsidP="00BC669D">
      <w:pPr>
        <w:rPr>
          <w:rFonts w:cs="Arial"/>
          <w:b/>
          <w:i/>
          <w:szCs w:val="20"/>
        </w:rPr>
      </w:pPr>
    </w:p>
    <w:p w:rsidR="00BC669D" w:rsidRPr="00BC669D" w:rsidRDefault="00BC669D" w:rsidP="00BC669D">
      <w:pPr>
        <w:rPr>
          <w:rFonts w:cs="Arial"/>
          <w:i/>
          <w:color w:val="2E74B5"/>
          <w:szCs w:val="20"/>
        </w:rPr>
      </w:pPr>
      <w:r w:rsidRPr="00BC669D">
        <w:rPr>
          <w:rFonts w:cs="Arial"/>
          <w:i/>
          <w:color w:val="2E74B5" w:themeColor="accent1" w:themeShade="BF"/>
          <w:szCs w:val="20"/>
        </w:rPr>
        <w:t xml:space="preserve">Financiële consequenties invulling </w:t>
      </w:r>
      <w:r w:rsidRPr="00BC669D">
        <w:rPr>
          <w:rFonts w:cs="Arial"/>
          <w:i/>
          <w:color w:val="2E74B5"/>
          <w:szCs w:val="20"/>
        </w:rPr>
        <w:t xml:space="preserve">Functionaris Gegevensbescherming en accountability  </w:t>
      </w:r>
    </w:p>
    <w:p w:rsidR="00BC669D" w:rsidRPr="00BC669D" w:rsidRDefault="00BC669D" w:rsidP="00BC669D">
      <w:pPr>
        <w:rPr>
          <w:rFonts w:cs="Arial"/>
          <w:szCs w:val="20"/>
        </w:rPr>
      </w:pPr>
      <w:r w:rsidRPr="00BC669D">
        <w:rPr>
          <w:rFonts w:cs="Arial"/>
          <w:szCs w:val="20"/>
        </w:rPr>
        <w:t xml:space="preserve">De gemeenten hebben verzocht om de gegevensbescherming centraal bij het SCD te organiseren. Dit omdat de nieuwe wetgeving en verplichte functie hiermee met minder middelen en inzet voor alle gemeenten kan worden ingevuld. Wanneer de functie lokaal wordt ingevuld zullen de kosten ongeveer € 1.413.690 bedragen. </w:t>
      </w:r>
    </w:p>
    <w:p w:rsidR="009A41FB" w:rsidRDefault="009A41FB" w:rsidP="00BC669D">
      <w:pPr>
        <w:rPr>
          <w:rFonts w:cs="Arial"/>
          <w:szCs w:val="20"/>
        </w:rPr>
      </w:pPr>
    </w:p>
    <w:p w:rsidR="00744556" w:rsidRDefault="00744556" w:rsidP="00744556">
      <w:pPr>
        <w:rPr>
          <w:rFonts w:cs="Arial"/>
          <w:szCs w:val="20"/>
        </w:rPr>
      </w:pPr>
    </w:p>
    <w:p w:rsidR="00744556" w:rsidRDefault="00744556" w:rsidP="00744556">
      <w:pPr>
        <w:rPr>
          <w:rFonts w:cs="Arial"/>
          <w:szCs w:val="20"/>
        </w:rPr>
      </w:pPr>
      <w:r w:rsidRPr="00BC669D">
        <w:rPr>
          <w:rFonts w:cs="Arial"/>
          <w:szCs w:val="20"/>
        </w:rPr>
        <w:lastRenderedPageBreak/>
        <w:t xml:space="preserve">Voor de Drechtsteden wordt de benodigde minimale capaciteit </w:t>
      </w:r>
      <w:r>
        <w:rPr>
          <w:rFonts w:cs="Arial"/>
          <w:szCs w:val="20"/>
        </w:rPr>
        <w:t xml:space="preserve">bij het beleggen op regionaal niveau </w:t>
      </w:r>
      <w:r w:rsidRPr="00BC669D">
        <w:rPr>
          <w:rFonts w:cs="Arial"/>
          <w:szCs w:val="20"/>
        </w:rPr>
        <w:t>geraamd op 2 fte FG en 2,5 fte FG-adviseurs. Deze invulling betreft in onze ogen een sobere invulling waarmee aan de wettelijke verplichtingen wordt</w:t>
      </w:r>
      <w:r>
        <w:rPr>
          <w:rFonts w:cs="Arial"/>
          <w:szCs w:val="20"/>
        </w:rPr>
        <w:t xml:space="preserve"> voldaan.</w:t>
      </w:r>
      <w:r w:rsidRPr="00744556">
        <w:rPr>
          <w:rFonts w:cs="Arial"/>
          <w:szCs w:val="20"/>
        </w:rPr>
        <w:t xml:space="preserve"> </w:t>
      </w:r>
      <w:r w:rsidRPr="00BC669D">
        <w:rPr>
          <w:rFonts w:cs="Arial"/>
          <w:szCs w:val="20"/>
        </w:rPr>
        <w:t>Bij gezamenlijke invulling op regionaal niveau bedragen de kosten € 455.728.</w:t>
      </w:r>
    </w:p>
    <w:p w:rsidR="00744556" w:rsidRDefault="00744556" w:rsidP="00BC669D">
      <w:pPr>
        <w:rPr>
          <w:rFonts w:cs="Arial"/>
          <w:szCs w:val="20"/>
        </w:rPr>
      </w:pPr>
    </w:p>
    <w:p w:rsidR="00BC669D" w:rsidRDefault="00BC669D" w:rsidP="00BC669D">
      <w:pPr>
        <w:rPr>
          <w:rFonts w:cs="Arial"/>
          <w:szCs w:val="20"/>
        </w:rPr>
      </w:pPr>
      <w:r w:rsidRPr="00BC669D">
        <w:rPr>
          <w:rFonts w:cs="Arial"/>
          <w:szCs w:val="20"/>
        </w:rPr>
        <w:t xml:space="preserve">De onderstaande </w:t>
      </w:r>
      <w:r w:rsidR="00744556">
        <w:rPr>
          <w:rFonts w:cs="Arial"/>
          <w:szCs w:val="20"/>
        </w:rPr>
        <w:t xml:space="preserve">tabellen geven inzicht in </w:t>
      </w:r>
      <w:r w:rsidRPr="00BC669D">
        <w:rPr>
          <w:rFonts w:cs="Arial"/>
          <w:szCs w:val="20"/>
        </w:rPr>
        <w:t>de financiële consequenties bij lokale en c</w:t>
      </w:r>
      <w:r w:rsidR="00744556">
        <w:rPr>
          <w:rFonts w:cs="Arial"/>
          <w:szCs w:val="20"/>
        </w:rPr>
        <w:t>entrale invulling. Deze tabellen onderschrijven</w:t>
      </w:r>
      <w:r w:rsidRPr="00BC669D">
        <w:rPr>
          <w:rFonts w:cs="Arial"/>
          <w:szCs w:val="20"/>
        </w:rPr>
        <w:t xml:space="preserve"> de waarde van het centraal beleggen van de Functionaris Gegevensbescherming. De onderstaande </w:t>
      </w:r>
      <w:r w:rsidR="00744556">
        <w:rPr>
          <w:rFonts w:cs="Arial"/>
          <w:szCs w:val="20"/>
        </w:rPr>
        <w:t>tabellen zijn</w:t>
      </w:r>
      <w:r w:rsidRPr="00BC669D">
        <w:rPr>
          <w:rFonts w:cs="Arial"/>
          <w:szCs w:val="20"/>
        </w:rPr>
        <w:t xml:space="preserve"> mede naar aanleiding van het contact met andere gemeenten tot stand gekomen.</w:t>
      </w:r>
    </w:p>
    <w:p w:rsidR="00744556" w:rsidRDefault="00744556" w:rsidP="00BC669D">
      <w:pPr>
        <w:rPr>
          <w:rFonts w:cs="Arial"/>
          <w:szCs w:val="20"/>
        </w:rPr>
      </w:pPr>
    </w:p>
    <w:p w:rsidR="00744556" w:rsidRPr="00BC669D" w:rsidRDefault="00744556" w:rsidP="00BC669D">
      <w:pPr>
        <w:rPr>
          <w:rFonts w:cs="Arial"/>
          <w:szCs w:val="20"/>
        </w:rPr>
      </w:pPr>
      <w:r>
        <w:rPr>
          <w:rFonts w:cs="Arial"/>
          <w:szCs w:val="20"/>
        </w:rPr>
        <w:t>De grote gemeenten kiezen ervoor om één FG aan te stellen, waarbij deze de beschikking heeft over een groter team aan FG adviseurs. Wij stellen u voor om w FG's aan te stellen met een klein team aan FG adviseurs.</w:t>
      </w:r>
    </w:p>
    <w:p w:rsidR="00BC669D" w:rsidRDefault="00BC669D" w:rsidP="00BC669D">
      <w:pPr>
        <w:rPr>
          <w:rFonts w:cs="Arial"/>
          <w:szCs w:val="20"/>
        </w:rPr>
      </w:pPr>
    </w:p>
    <w:tbl>
      <w:tblPr>
        <w:tblW w:w="8262" w:type="dxa"/>
        <w:tblInd w:w="-10" w:type="dxa"/>
        <w:tblCellMar>
          <w:left w:w="70" w:type="dxa"/>
          <w:right w:w="70" w:type="dxa"/>
        </w:tblCellMar>
        <w:tblLook w:val="04A0" w:firstRow="1" w:lastRow="0" w:firstColumn="1" w:lastColumn="0" w:noHBand="0" w:noVBand="1"/>
      </w:tblPr>
      <w:tblGrid>
        <w:gridCol w:w="1135"/>
        <w:gridCol w:w="1112"/>
        <w:gridCol w:w="1488"/>
        <w:gridCol w:w="1561"/>
        <w:gridCol w:w="1549"/>
        <w:gridCol w:w="1417"/>
      </w:tblGrid>
      <w:tr w:rsidR="00744556" w:rsidRPr="00BC669D" w:rsidTr="0019611C">
        <w:trPr>
          <w:trHeight w:val="247"/>
        </w:trPr>
        <w:tc>
          <w:tcPr>
            <w:tcW w:w="1135" w:type="dxa"/>
            <w:tcBorders>
              <w:top w:val="single" w:sz="8" w:space="0" w:color="auto"/>
              <w:left w:val="single" w:sz="8" w:space="0" w:color="auto"/>
              <w:bottom w:val="single" w:sz="8" w:space="0" w:color="auto"/>
              <w:right w:val="nil"/>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w:t>
            </w:r>
          </w:p>
        </w:tc>
        <w:tc>
          <w:tcPr>
            <w:tcW w:w="1112" w:type="dxa"/>
            <w:tcBorders>
              <w:top w:val="single" w:sz="8" w:space="0" w:color="auto"/>
              <w:left w:val="nil"/>
              <w:bottom w:val="single" w:sz="8" w:space="0" w:color="auto"/>
              <w:right w:val="single" w:sz="4" w:space="0" w:color="auto"/>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w:t>
            </w:r>
          </w:p>
        </w:tc>
        <w:tc>
          <w:tcPr>
            <w:tcW w:w="1488" w:type="dxa"/>
            <w:tcBorders>
              <w:top w:val="single" w:sz="8" w:space="0" w:color="auto"/>
              <w:left w:val="nil"/>
              <w:bottom w:val="single" w:sz="8" w:space="0" w:color="auto"/>
              <w:right w:val="single" w:sz="4" w:space="0" w:color="auto"/>
            </w:tcBorders>
            <w:shd w:val="clear" w:color="auto" w:fill="auto"/>
            <w:noWrap/>
            <w:vAlign w:val="bottom"/>
            <w:hideMark/>
          </w:tcPr>
          <w:p w:rsidR="00744556" w:rsidRPr="00BC669D" w:rsidRDefault="00744556" w:rsidP="0019611C">
            <w:pPr>
              <w:rPr>
                <w:rFonts w:cs="Arial"/>
                <w:b/>
                <w:bCs/>
                <w:color w:val="000000"/>
                <w:sz w:val="18"/>
                <w:szCs w:val="20"/>
              </w:rPr>
            </w:pPr>
            <w:r w:rsidRPr="00BC669D">
              <w:rPr>
                <w:rFonts w:cs="Arial"/>
                <w:b/>
                <w:bCs/>
                <w:color w:val="000000"/>
                <w:sz w:val="18"/>
                <w:szCs w:val="20"/>
              </w:rPr>
              <w:t>Opleiding</w:t>
            </w:r>
          </w:p>
        </w:tc>
        <w:tc>
          <w:tcPr>
            <w:tcW w:w="1561" w:type="dxa"/>
            <w:tcBorders>
              <w:top w:val="single" w:sz="8" w:space="0" w:color="auto"/>
              <w:left w:val="nil"/>
              <w:bottom w:val="single" w:sz="8" w:space="0" w:color="auto"/>
              <w:right w:val="single" w:sz="4" w:space="0" w:color="auto"/>
            </w:tcBorders>
            <w:shd w:val="clear" w:color="auto" w:fill="auto"/>
            <w:noWrap/>
            <w:vAlign w:val="bottom"/>
            <w:hideMark/>
          </w:tcPr>
          <w:p w:rsidR="00744556" w:rsidRPr="00BC669D" w:rsidRDefault="00744556" w:rsidP="0019611C">
            <w:pPr>
              <w:rPr>
                <w:rFonts w:cs="Arial"/>
                <w:b/>
                <w:bCs/>
                <w:color w:val="000000"/>
                <w:sz w:val="18"/>
                <w:szCs w:val="20"/>
              </w:rPr>
            </w:pPr>
            <w:r w:rsidRPr="00BC669D">
              <w:rPr>
                <w:rFonts w:cs="Arial"/>
                <w:b/>
                <w:bCs/>
                <w:color w:val="000000"/>
                <w:sz w:val="18"/>
                <w:szCs w:val="20"/>
              </w:rPr>
              <w:t>FG</w:t>
            </w:r>
          </w:p>
        </w:tc>
        <w:tc>
          <w:tcPr>
            <w:tcW w:w="1549" w:type="dxa"/>
            <w:tcBorders>
              <w:top w:val="single" w:sz="8" w:space="0" w:color="auto"/>
              <w:left w:val="nil"/>
              <w:bottom w:val="single" w:sz="8" w:space="0" w:color="auto"/>
              <w:right w:val="single" w:sz="8" w:space="0" w:color="auto"/>
            </w:tcBorders>
            <w:shd w:val="clear" w:color="auto" w:fill="auto"/>
            <w:noWrap/>
            <w:vAlign w:val="bottom"/>
            <w:hideMark/>
          </w:tcPr>
          <w:p w:rsidR="00744556" w:rsidRPr="00BC669D" w:rsidRDefault="00744556" w:rsidP="0019611C">
            <w:pPr>
              <w:rPr>
                <w:rFonts w:cs="Arial"/>
                <w:b/>
                <w:bCs/>
                <w:color w:val="000000"/>
                <w:sz w:val="18"/>
                <w:szCs w:val="20"/>
              </w:rPr>
            </w:pPr>
            <w:r w:rsidRPr="00BC669D">
              <w:rPr>
                <w:rFonts w:cs="Arial"/>
                <w:b/>
                <w:bCs/>
                <w:color w:val="000000"/>
                <w:sz w:val="18"/>
                <w:szCs w:val="20"/>
              </w:rPr>
              <w:t>FG adviseur</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44556" w:rsidRPr="00BC669D" w:rsidRDefault="00744556" w:rsidP="0019611C">
            <w:pPr>
              <w:rPr>
                <w:rFonts w:cs="Arial"/>
                <w:b/>
                <w:bCs/>
                <w:color w:val="000000"/>
                <w:sz w:val="18"/>
                <w:szCs w:val="20"/>
              </w:rPr>
            </w:pPr>
            <w:r w:rsidRPr="00BC669D">
              <w:rPr>
                <w:rFonts w:cs="Arial"/>
                <w:b/>
                <w:bCs/>
                <w:color w:val="000000"/>
                <w:sz w:val="18"/>
                <w:szCs w:val="20"/>
              </w:rPr>
              <w:t>Totaal</w:t>
            </w:r>
          </w:p>
        </w:tc>
      </w:tr>
      <w:tr w:rsidR="00744556" w:rsidRPr="00BC669D" w:rsidTr="0019611C">
        <w:trPr>
          <w:trHeight w:val="247"/>
        </w:trPr>
        <w:tc>
          <w:tcPr>
            <w:tcW w:w="1135" w:type="dxa"/>
            <w:tcBorders>
              <w:top w:val="nil"/>
              <w:left w:val="single" w:sz="8" w:space="0" w:color="auto"/>
              <w:bottom w:val="single" w:sz="8" w:space="0" w:color="auto"/>
              <w:right w:val="nil"/>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w:t>
            </w:r>
          </w:p>
        </w:tc>
        <w:tc>
          <w:tcPr>
            <w:tcW w:w="1112" w:type="dxa"/>
            <w:tcBorders>
              <w:top w:val="nil"/>
              <w:left w:val="single" w:sz="4" w:space="0" w:color="auto"/>
              <w:bottom w:val="single" w:sz="8" w:space="0" w:color="auto"/>
              <w:right w:val="single" w:sz="4" w:space="0" w:color="auto"/>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Per fte</w:t>
            </w:r>
          </w:p>
        </w:tc>
        <w:tc>
          <w:tcPr>
            <w:tcW w:w="1488" w:type="dxa"/>
            <w:tcBorders>
              <w:top w:val="nil"/>
              <w:left w:val="nil"/>
              <w:bottom w:val="single" w:sz="8" w:space="0" w:color="auto"/>
              <w:right w:val="single" w:sz="4" w:space="0" w:color="auto"/>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xml:space="preserve"> €           6.500 </w:t>
            </w:r>
          </w:p>
        </w:tc>
        <w:tc>
          <w:tcPr>
            <w:tcW w:w="1561" w:type="dxa"/>
            <w:tcBorders>
              <w:top w:val="nil"/>
              <w:left w:val="nil"/>
              <w:bottom w:val="single" w:sz="8" w:space="0" w:color="auto"/>
              <w:right w:val="single" w:sz="4" w:space="0" w:color="auto"/>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xml:space="preserve"> €        105.099 </w:t>
            </w:r>
          </w:p>
        </w:tc>
        <w:tc>
          <w:tcPr>
            <w:tcW w:w="1549" w:type="dxa"/>
            <w:tcBorders>
              <w:top w:val="nil"/>
              <w:left w:val="nil"/>
              <w:bottom w:val="single" w:sz="8" w:space="0" w:color="auto"/>
              <w:right w:val="single" w:sz="4" w:space="0" w:color="auto"/>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xml:space="preserve"> €          86.512 </w:t>
            </w:r>
          </w:p>
        </w:tc>
        <w:tc>
          <w:tcPr>
            <w:tcW w:w="1417" w:type="dxa"/>
            <w:tcBorders>
              <w:top w:val="nil"/>
              <w:left w:val="nil"/>
              <w:bottom w:val="single" w:sz="8" w:space="0" w:color="auto"/>
              <w:right w:val="single" w:sz="8" w:space="0" w:color="auto"/>
            </w:tcBorders>
            <w:shd w:val="clear" w:color="auto" w:fill="auto"/>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w:t>
            </w:r>
          </w:p>
        </w:tc>
      </w:tr>
      <w:tr w:rsidR="00744556" w:rsidRPr="00BC669D" w:rsidTr="0019611C">
        <w:trPr>
          <w:trHeight w:val="247"/>
        </w:trPr>
        <w:tc>
          <w:tcPr>
            <w:tcW w:w="1135" w:type="dxa"/>
            <w:vMerge w:val="restart"/>
            <w:tcBorders>
              <w:top w:val="nil"/>
              <w:left w:val="single" w:sz="8" w:space="0" w:color="auto"/>
              <w:bottom w:val="single" w:sz="8" w:space="0" w:color="000000"/>
              <w:right w:val="single" w:sz="4" w:space="0" w:color="auto"/>
            </w:tcBorders>
            <w:shd w:val="clear" w:color="000000" w:fill="FFFF00"/>
            <w:noWrap/>
            <w:vAlign w:val="center"/>
            <w:hideMark/>
          </w:tcPr>
          <w:p w:rsidR="00744556" w:rsidRPr="00BC669D" w:rsidRDefault="00744556" w:rsidP="0019611C">
            <w:pPr>
              <w:rPr>
                <w:rFonts w:cs="Arial"/>
                <w:b/>
                <w:bCs/>
                <w:sz w:val="18"/>
                <w:szCs w:val="20"/>
              </w:rPr>
            </w:pPr>
            <w:r w:rsidRPr="00BC669D">
              <w:rPr>
                <w:rFonts w:cs="Arial"/>
                <w:b/>
                <w:bCs/>
                <w:sz w:val="18"/>
                <w:szCs w:val="20"/>
              </w:rPr>
              <w:t>Lokaal</w:t>
            </w:r>
          </w:p>
        </w:tc>
        <w:tc>
          <w:tcPr>
            <w:tcW w:w="1112" w:type="dxa"/>
            <w:tcBorders>
              <w:top w:val="nil"/>
              <w:left w:val="nil"/>
              <w:bottom w:val="single" w:sz="4" w:space="0" w:color="auto"/>
              <w:right w:val="single" w:sz="4"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Aantal fte</w:t>
            </w:r>
          </w:p>
        </w:tc>
        <w:tc>
          <w:tcPr>
            <w:tcW w:w="1488" w:type="dxa"/>
            <w:tcBorders>
              <w:top w:val="nil"/>
              <w:left w:val="nil"/>
              <w:bottom w:val="single" w:sz="4" w:space="0" w:color="auto"/>
              <w:right w:val="single" w:sz="4"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14</w:t>
            </w:r>
          </w:p>
        </w:tc>
        <w:tc>
          <w:tcPr>
            <w:tcW w:w="1561" w:type="dxa"/>
            <w:tcBorders>
              <w:top w:val="nil"/>
              <w:left w:val="nil"/>
              <w:bottom w:val="single" w:sz="4" w:space="0" w:color="auto"/>
              <w:right w:val="single" w:sz="4"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6</w:t>
            </w:r>
          </w:p>
        </w:tc>
        <w:tc>
          <w:tcPr>
            <w:tcW w:w="1549" w:type="dxa"/>
            <w:tcBorders>
              <w:top w:val="nil"/>
              <w:left w:val="nil"/>
              <w:bottom w:val="single" w:sz="4" w:space="0" w:color="auto"/>
              <w:right w:val="single" w:sz="8"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8</w:t>
            </w:r>
          </w:p>
        </w:tc>
        <w:tc>
          <w:tcPr>
            <w:tcW w:w="1417" w:type="dxa"/>
            <w:tcBorders>
              <w:top w:val="nil"/>
              <w:left w:val="single" w:sz="4" w:space="0" w:color="auto"/>
              <w:bottom w:val="single" w:sz="4" w:space="0" w:color="auto"/>
              <w:right w:val="single" w:sz="8" w:space="0" w:color="auto"/>
            </w:tcBorders>
            <w:shd w:val="clear" w:color="000000" w:fill="FFFF00"/>
            <w:noWrap/>
            <w:vAlign w:val="bottom"/>
            <w:hideMark/>
          </w:tcPr>
          <w:p w:rsidR="00744556" w:rsidRPr="00BC669D" w:rsidRDefault="00744556" w:rsidP="0019611C">
            <w:pPr>
              <w:rPr>
                <w:rFonts w:cs="Arial"/>
                <w:b/>
                <w:bCs/>
                <w:sz w:val="18"/>
                <w:szCs w:val="20"/>
              </w:rPr>
            </w:pPr>
            <w:r w:rsidRPr="00BC669D">
              <w:rPr>
                <w:rFonts w:cs="Arial"/>
                <w:b/>
                <w:bCs/>
                <w:sz w:val="18"/>
                <w:szCs w:val="20"/>
              </w:rPr>
              <w:t>14</w:t>
            </w:r>
          </w:p>
        </w:tc>
      </w:tr>
      <w:tr w:rsidR="00744556" w:rsidRPr="00BC669D" w:rsidTr="0019611C">
        <w:trPr>
          <w:trHeight w:val="247"/>
        </w:trPr>
        <w:tc>
          <w:tcPr>
            <w:tcW w:w="1135" w:type="dxa"/>
            <w:vMerge/>
            <w:tcBorders>
              <w:top w:val="nil"/>
              <w:left w:val="single" w:sz="8" w:space="0" w:color="auto"/>
              <w:bottom w:val="single" w:sz="8" w:space="0" w:color="000000"/>
              <w:right w:val="single" w:sz="4" w:space="0" w:color="auto"/>
            </w:tcBorders>
            <w:vAlign w:val="center"/>
            <w:hideMark/>
          </w:tcPr>
          <w:p w:rsidR="00744556" w:rsidRPr="00BC669D" w:rsidRDefault="00744556" w:rsidP="0019611C">
            <w:pPr>
              <w:rPr>
                <w:rFonts w:cs="Arial"/>
                <w:b/>
                <w:bCs/>
                <w:sz w:val="18"/>
                <w:szCs w:val="20"/>
              </w:rPr>
            </w:pPr>
          </w:p>
        </w:tc>
        <w:tc>
          <w:tcPr>
            <w:tcW w:w="1112" w:type="dxa"/>
            <w:tcBorders>
              <w:top w:val="nil"/>
              <w:left w:val="nil"/>
              <w:bottom w:val="single" w:sz="8" w:space="0" w:color="auto"/>
              <w:right w:val="single" w:sz="4"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Totaal</w:t>
            </w:r>
          </w:p>
        </w:tc>
        <w:tc>
          <w:tcPr>
            <w:tcW w:w="1488" w:type="dxa"/>
            <w:tcBorders>
              <w:top w:val="nil"/>
              <w:left w:val="nil"/>
              <w:bottom w:val="single" w:sz="8" w:space="0" w:color="auto"/>
              <w:right w:val="single" w:sz="4"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 xml:space="preserve"> €        91.000 </w:t>
            </w:r>
          </w:p>
        </w:tc>
        <w:tc>
          <w:tcPr>
            <w:tcW w:w="1561" w:type="dxa"/>
            <w:tcBorders>
              <w:top w:val="nil"/>
              <w:left w:val="nil"/>
              <w:bottom w:val="single" w:sz="8" w:space="0" w:color="auto"/>
              <w:right w:val="single" w:sz="4"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 xml:space="preserve"> €        630.594 </w:t>
            </w:r>
          </w:p>
        </w:tc>
        <w:tc>
          <w:tcPr>
            <w:tcW w:w="1549" w:type="dxa"/>
            <w:tcBorders>
              <w:top w:val="nil"/>
              <w:left w:val="nil"/>
              <w:bottom w:val="single" w:sz="8" w:space="0" w:color="auto"/>
              <w:right w:val="single" w:sz="8" w:space="0" w:color="auto"/>
            </w:tcBorders>
            <w:shd w:val="clear" w:color="000000" w:fill="FFFF00"/>
            <w:noWrap/>
            <w:vAlign w:val="bottom"/>
            <w:hideMark/>
          </w:tcPr>
          <w:p w:rsidR="00744556" w:rsidRPr="00BC669D" w:rsidRDefault="00744556" w:rsidP="0019611C">
            <w:pPr>
              <w:rPr>
                <w:rFonts w:cs="Arial"/>
                <w:sz w:val="18"/>
                <w:szCs w:val="20"/>
              </w:rPr>
            </w:pPr>
            <w:r w:rsidRPr="00BC669D">
              <w:rPr>
                <w:rFonts w:cs="Arial"/>
                <w:sz w:val="18"/>
                <w:szCs w:val="20"/>
              </w:rPr>
              <w:t xml:space="preserve"> €       692.096 </w:t>
            </w:r>
          </w:p>
        </w:tc>
        <w:tc>
          <w:tcPr>
            <w:tcW w:w="1417" w:type="dxa"/>
            <w:tcBorders>
              <w:top w:val="nil"/>
              <w:left w:val="single" w:sz="4" w:space="0" w:color="auto"/>
              <w:bottom w:val="single" w:sz="8" w:space="0" w:color="auto"/>
              <w:right w:val="single" w:sz="8" w:space="0" w:color="auto"/>
            </w:tcBorders>
            <w:shd w:val="clear" w:color="000000" w:fill="FFFF00"/>
            <w:noWrap/>
            <w:vAlign w:val="bottom"/>
            <w:hideMark/>
          </w:tcPr>
          <w:p w:rsidR="00744556" w:rsidRPr="00BC669D" w:rsidRDefault="00744556" w:rsidP="0019611C">
            <w:pPr>
              <w:rPr>
                <w:rFonts w:cs="Arial"/>
                <w:b/>
                <w:bCs/>
                <w:sz w:val="18"/>
                <w:szCs w:val="20"/>
              </w:rPr>
            </w:pPr>
            <w:r w:rsidRPr="00BC669D">
              <w:rPr>
                <w:rFonts w:cs="Arial"/>
                <w:b/>
                <w:bCs/>
                <w:sz w:val="18"/>
                <w:szCs w:val="20"/>
              </w:rPr>
              <w:t xml:space="preserve"> € 1.413.690 </w:t>
            </w:r>
          </w:p>
        </w:tc>
      </w:tr>
      <w:tr w:rsidR="00744556" w:rsidRPr="00BC669D" w:rsidTr="0019611C">
        <w:trPr>
          <w:trHeight w:val="235"/>
        </w:trPr>
        <w:tc>
          <w:tcPr>
            <w:tcW w:w="1135"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rsidR="00744556" w:rsidRPr="00BC669D" w:rsidRDefault="00744556" w:rsidP="0019611C">
            <w:pPr>
              <w:rPr>
                <w:rFonts w:cs="Arial"/>
                <w:b/>
                <w:bCs/>
                <w:color w:val="000000"/>
                <w:sz w:val="18"/>
                <w:szCs w:val="20"/>
              </w:rPr>
            </w:pPr>
            <w:r w:rsidRPr="00BC669D">
              <w:rPr>
                <w:rFonts w:cs="Arial"/>
                <w:b/>
                <w:bCs/>
                <w:color w:val="000000"/>
                <w:sz w:val="18"/>
                <w:szCs w:val="20"/>
              </w:rPr>
              <w:t>Regionaal</w:t>
            </w:r>
          </w:p>
        </w:tc>
        <w:tc>
          <w:tcPr>
            <w:tcW w:w="1112" w:type="dxa"/>
            <w:tcBorders>
              <w:top w:val="nil"/>
              <w:left w:val="nil"/>
              <w:bottom w:val="single" w:sz="4" w:space="0" w:color="auto"/>
              <w:right w:val="single" w:sz="4"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Aantal fte</w:t>
            </w:r>
          </w:p>
        </w:tc>
        <w:tc>
          <w:tcPr>
            <w:tcW w:w="1488" w:type="dxa"/>
            <w:tcBorders>
              <w:top w:val="nil"/>
              <w:left w:val="nil"/>
              <w:bottom w:val="single" w:sz="4" w:space="0" w:color="auto"/>
              <w:right w:val="single" w:sz="4"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4,5</w:t>
            </w:r>
          </w:p>
        </w:tc>
        <w:tc>
          <w:tcPr>
            <w:tcW w:w="1561" w:type="dxa"/>
            <w:tcBorders>
              <w:top w:val="nil"/>
              <w:left w:val="nil"/>
              <w:bottom w:val="single" w:sz="4" w:space="0" w:color="auto"/>
              <w:right w:val="single" w:sz="4"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2</w:t>
            </w:r>
          </w:p>
        </w:tc>
        <w:tc>
          <w:tcPr>
            <w:tcW w:w="1549" w:type="dxa"/>
            <w:tcBorders>
              <w:top w:val="nil"/>
              <w:left w:val="nil"/>
              <w:bottom w:val="single" w:sz="4" w:space="0" w:color="auto"/>
              <w:right w:val="single" w:sz="8"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2,5</w:t>
            </w:r>
          </w:p>
        </w:tc>
        <w:tc>
          <w:tcPr>
            <w:tcW w:w="1417" w:type="dxa"/>
            <w:tcBorders>
              <w:top w:val="nil"/>
              <w:left w:val="single" w:sz="4" w:space="0" w:color="auto"/>
              <w:bottom w:val="single" w:sz="4" w:space="0" w:color="auto"/>
              <w:right w:val="single" w:sz="8" w:space="0" w:color="auto"/>
            </w:tcBorders>
            <w:shd w:val="clear" w:color="000000" w:fill="92D050"/>
            <w:noWrap/>
            <w:vAlign w:val="bottom"/>
            <w:hideMark/>
          </w:tcPr>
          <w:p w:rsidR="00744556" w:rsidRPr="00BC669D" w:rsidRDefault="00744556" w:rsidP="0019611C">
            <w:pPr>
              <w:rPr>
                <w:rFonts w:cs="Arial"/>
                <w:b/>
                <w:bCs/>
                <w:color w:val="000000"/>
                <w:sz w:val="18"/>
                <w:szCs w:val="20"/>
              </w:rPr>
            </w:pPr>
            <w:r w:rsidRPr="00BC669D">
              <w:rPr>
                <w:rFonts w:cs="Arial"/>
                <w:b/>
                <w:bCs/>
                <w:color w:val="000000"/>
                <w:sz w:val="18"/>
                <w:szCs w:val="20"/>
              </w:rPr>
              <w:t>4,5</w:t>
            </w:r>
          </w:p>
        </w:tc>
      </w:tr>
      <w:tr w:rsidR="00744556" w:rsidRPr="00BC669D" w:rsidTr="0019611C">
        <w:trPr>
          <w:trHeight w:val="247"/>
        </w:trPr>
        <w:tc>
          <w:tcPr>
            <w:tcW w:w="1135" w:type="dxa"/>
            <w:vMerge/>
            <w:tcBorders>
              <w:top w:val="nil"/>
              <w:left w:val="single" w:sz="8" w:space="0" w:color="auto"/>
              <w:bottom w:val="single" w:sz="8" w:space="0" w:color="000000"/>
              <w:right w:val="single" w:sz="4" w:space="0" w:color="auto"/>
            </w:tcBorders>
            <w:vAlign w:val="center"/>
            <w:hideMark/>
          </w:tcPr>
          <w:p w:rsidR="00744556" w:rsidRPr="00BC669D" w:rsidRDefault="00744556" w:rsidP="0019611C">
            <w:pPr>
              <w:rPr>
                <w:rFonts w:cs="Arial"/>
                <w:b/>
                <w:bCs/>
                <w:color w:val="000000"/>
                <w:sz w:val="18"/>
                <w:szCs w:val="20"/>
              </w:rPr>
            </w:pPr>
          </w:p>
        </w:tc>
        <w:tc>
          <w:tcPr>
            <w:tcW w:w="1112" w:type="dxa"/>
            <w:tcBorders>
              <w:top w:val="nil"/>
              <w:left w:val="nil"/>
              <w:bottom w:val="single" w:sz="8" w:space="0" w:color="auto"/>
              <w:right w:val="single" w:sz="4"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Totaal</w:t>
            </w:r>
          </w:p>
        </w:tc>
        <w:tc>
          <w:tcPr>
            <w:tcW w:w="1488" w:type="dxa"/>
            <w:tcBorders>
              <w:top w:val="nil"/>
              <w:left w:val="nil"/>
              <w:bottom w:val="single" w:sz="8" w:space="0" w:color="auto"/>
              <w:right w:val="single" w:sz="4"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xml:space="preserve"> €        29.250 </w:t>
            </w:r>
          </w:p>
        </w:tc>
        <w:tc>
          <w:tcPr>
            <w:tcW w:w="1561" w:type="dxa"/>
            <w:tcBorders>
              <w:top w:val="nil"/>
              <w:left w:val="nil"/>
              <w:bottom w:val="single" w:sz="8" w:space="0" w:color="auto"/>
              <w:right w:val="single" w:sz="4"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xml:space="preserve"> €        210.198 </w:t>
            </w:r>
          </w:p>
        </w:tc>
        <w:tc>
          <w:tcPr>
            <w:tcW w:w="1549" w:type="dxa"/>
            <w:tcBorders>
              <w:top w:val="nil"/>
              <w:left w:val="nil"/>
              <w:bottom w:val="single" w:sz="8" w:space="0" w:color="auto"/>
              <w:right w:val="single" w:sz="8" w:space="0" w:color="auto"/>
            </w:tcBorders>
            <w:shd w:val="clear" w:color="000000" w:fill="92D050"/>
            <w:noWrap/>
            <w:vAlign w:val="bottom"/>
            <w:hideMark/>
          </w:tcPr>
          <w:p w:rsidR="00744556" w:rsidRPr="00BC669D" w:rsidRDefault="00744556" w:rsidP="0019611C">
            <w:pPr>
              <w:rPr>
                <w:rFonts w:cs="Arial"/>
                <w:color w:val="000000"/>
                <w:sz w:val="18"/>
                <w:szCs w:val="20"/>
              </w:rPr>
            </w:pPr>
            <w:r w:rsidRPr="00BC669D">
              <w:rPr>
                <w:rFonts w:cs="Arial"/>
                <w:color w:val="000000"/>
                <w:sz w:val="18"/>
                <w:szCs w:val="20"/>
              </w:rPr>
              <w:t xml:space="preserve"> €       216.280 </w:t>
            </w:r>
          </w:p>
        </w:tc>
        <w:tc>
          <w:tcPr>
            <w:tcW w:w="1417" w:type="dxa"/>
            <w:tcBorders>
              <w:top w:val="nil"/>
              <w:left w:val="single" w:sz="4" w:space="0" w:color="auto"/>
              <w:bottom w:val="single" w:sz="8" w:space="0" w:color="auto"/>
              <w:right w:val="single" w:sz="8" w:space="0" w:color="auto"/>
            </w:tcBorders>
            <w:shd w:val="clear" w:color="000000" w:fill="92D050"/>
            <w:noWrap/>
            <w:vAlign w:val="bottom"/>
            <w:hideMark/>
          </w:tcPr>
          <w:p w:rsidR="00744556" w:rsidRPr="00BC669D" w:rsidRDefault="00744556" w:rsidP="0019611C">
            <w:pPr>
              <w:rPr>
                <w:rFonts w:cs="Arial"/>
                <w:b/>
                <w:bCs/>
                <w:color w:val="000000"/>
                <w:sz w:val="18"/>
                <w:szCs w:val="20"/>
              </w:rPr>
            </w:pPr>
            <w:r w:rsidRPr="00BC669D">
              <w:rPr>
                <w:rFonts w:cs="Arial"/>
                <w:b/>
                <w:bCs/>
                <w:color w:val="000000"/>
                <w:sz w:val="18"/>
                <w:szCs w:val="20"/>
              </w:rPr>
              <w:t xml:space="preserve"> €     455.728 </w:t>
            </w:r>
          </w:p>
        </w:tc>
      </w:tr>
    </w:tbl>
    <w:p w:rsidR="00BC669D" w:rsidRPr="00BC669D" w:rsidRDefault="009A5201" w:rsidP="00BC669D">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simplePos x="0" y="0"/>
                <wp:positionH relativeFrom="column">
                  <wp:posOffset>317333</wp:posOffset>
                </wp:positionH>
                <wp:positionV relativeFrom="paragraph">
                  <wp:posOffset>77470</wp:posOffset>
                </wp:positionV>
                <wp:extent cx="2090732" cy="2044461"/>
                <wp:effectExtent l="0" t="0" r="0" b="0"/>
                <wp:wrapNone/>
                <wp:docPr id="5" name="Vermenigvuldigen 5"/>
                <wp:cNvGraphicFramePr/>
                <a:graphic xmlns:a="http://schemas.openxmlformats.org/drawingml/2006/main">
                  <a:graphicData uri="http://schemas.microsoft.com/office/word/2010/wordprocessingShape">
                    <wps:wsp>
                      <wps:cNvSpPr/>
                      <wps:spPr>
                        <a:xfrm>
                          <a:off x="0" y="0"/>
                          <a:ext cx="2090732" cy="2044461"/>
                        </a:xfrm>
                        <a:prstGeom prst="mathMultiply">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BEF2" id="Vermenigvuldigen 5" o:spid="_x0000_s1026" style="position:absolute;margin-left:25pt;margin-top:6.1pt;width:164.6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0732,204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" path="m334046,662929l670237,319128r375129,366827l1420495,319128r336191,343801l1389253,1022231r367433,359301l1420495,1725333,1045366,1358506,670237,1725333,334046,1381532,701479,1022231,334046,662929xe" fillcolor="yellow" strokecolor="#1f4d78 [1604]" strokeweight="1pt">
                <v:stroke joinstyle="miter"/>
                <v:path arrowok="t" o:connecttype="custom" o:connectlocs="334046,662929;670237,319128;1045366,685955;1420495,319128;1756686,662929;1389253,1022231;1756686,1381532;1420495,1725333;1045366,1358506;670237,1725333;334046,1381532;701479,1022231;334046,662929" o:connectangles="0,0,0,0,0,0,0,0,0,0,0,0,0"/>
              </v:shape>
            </w:pict>
          </mc:Fallback>
        </mc:AlternateContent>
      </w:r>
    </w:p>
    <w:p w:rsidR="00BC669D" w:rsidRPr="00BC669D" w:rsidRDefault="00240317" w:rsidP="00BC669D">
      <w:pPr>
        <w:rPr>
          <w:rFonts w:cs="Arial"/>
          <w:szCs w:val="20"/>
        </w:rPr>
      </w:pPr>
      <w:r w:rsidRPr="00BC669D">
        <w:rPr>
          <w:rFonts w:cs="Arial"/>
          <w:noProof/>
          <w:szCs w:val="20"/>
        </w:rPr>
        <w:drawing>
          <wp:inline distT="0" distB="0" distL="0" distR="0" wp14:anchorId="5DEED7A0" wp14:editId="2ED306F1">
            <wp:extent cx="2600077" cy="171011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896" cy="1712622"/>
                    </a:xfrm>
                    <a:prstGeom prst="rect">
                      <a:avLst/>
                    </a:prstGeom>
                    <a:noFill/>
                    <a:ln>
                      <a:noFill/>
                    </a:ln>
                  </pic:spPr>
                </pic:pic>
              </a:graphicData>
            </a:graphic>
          </wp:inline>
        </w:drawing>
      </w:r>
      <w:r w:rsidR="00BC669D" w:rsidRPr="00BC669D">
        <w:rPr>
          <w:rFonts w:cs="Arial"/>
          <w:noProof/>
          <w:szCs w:val="20"/>
        </w:rPr>
        <w:drawing>
          <wp:anchor distT="0" distB="0" distL="114300" distR="114300" simplePos="0" relativeHeight="251659264" behindDoc="0" locked="0" layoutInCell="1" allowOverlap="1">
            <wp:simplePos x="0" y="0"/>
            <wp:positionH relativeFrom="column">
              <wp:posOffset>3015615</wp:posOffset>
            </wp:positionH>
            <wp:positionV relativeFrom="paragraph">
              <wp:posOffset>3175</wp:posOffset>
            </wp:positionV>
            <wp:extent cx="2694940" cy="1693545"/>
            <wp:effectExtent l="0" t="0" r="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556" w:rsidRPr="00744556" w:rsidRDefault="00BC669D" w:rsidP="00BC669D">
      <w:pPr>
        <w:rPr>
          <w:rFonts w:cs="Arial"/>
          <w:sz w:val="16"/>
          <w:szCs w:val="20"/>
        </w:rPr>
      </w:pPr>
      <w:r w:rsidRPr="00240317">
        <w:rPr>
          <w:rFonts w:cs="Arial"/>
          <w:i/>
          <w:sz w:val="16"/>
          <w:szCs w:val="16"/>
        </w:rPr>
        <w:t>Overzicht aantal FG's</w:t>
      </w:r>
      <w:r w:rsidRPr="00240317">
        <w:rPr>
          <w:rFonts w:cs="Arial"/>
          <w:i/>
          <w:sz w:val="16"/>
          <w:szCs w:val="16"/>
        </w:rPr>
        <w:tab/>
      </w:r>
      <w:r w:rsidRPr="00BC669D">
        <w:rPr>
          <w:rFonts w:cs="Arial"/>
          <w:i/>
          <w:szCs w:val="20"/>
        </w:rPr>
        <w:t xml:space="preserve">    </w:t>
      </w:r>
      <w:r w:rsidRPr="00BC669D">
        <w:rPr>
          <w:rFonts w:cs="Arial"/>
          <w:i/>
          <w:szCs w:val="20"/>
        </w:rPr>
        <w:tab/>
      </w:r>
      <w:r w:rsidRPr="00BC669D">
        <w:rPr>
          <w:rFonts w:cs="Arial"/>
          <w:i/>
          <w:szCs w:val="20"/>
        </w:rPr>
        <w:tab/>
      </w:r>
      <w:r w:rsidRPr="00240317">
        <w:rPr>
          <w:rFonts w:cs="Arial"/>
          <w:i/>
          <w:sz w:val="16"/>
          <w:szCs w:val="20"/>
        </w:rPr>
        <w:t xml:space="preserve">     </w:t>
      </w:r>
      <w:r w:rsidR="00240317">
        <w:rPr>
          <w:rFonts w:cs="Arial"/>
          <w:i/>
          <w:sz w:val="16"/>
          <w:szCs w:val="20"/>
        </w:rPr>
        <w:t xml:space="preserve">     </w:t>
      </w:r>
      <w:r w:rsidRPr="00240317">
        <w:rPr>
          <w:rFonts w:cs="Arial"/>
          <w:i/>
          <w:sz w:val="16"/>
          <w:szCs w:val="20"/>
        </w:rPr>
        <w:t xml:space="preserve"> </w:t>
      </w:r>
      <w:r w:rsidR="00744556">
        <w:rPr>
          <w:rFonts w:cs="Arial"/>
          <w:i/>
          <w:sz w:val="16"/>
          <w:szCs w:val="20"/>
        </w:rPr>
        <w:tab/>
        <w:t xml:space="preserve">          </w:t>
      </w:r>
      <w:r w:rsidRPr="00240317">
        <w:rPr>
          <w:rFonts w:cs="Arial"/>
          <w:i/>
          <w:sz w:val="16"/>
          <w:szCs w:val="20"/>
        </w:rPr>
        <w:t>Overzicht aantal FG's bij lokale invulling</w:t>
      </w:r>
    </w:p>
    <w:p w:rsidR="00744556" w:rsidRPr="00BC669D" w:rsidRDefault="00744556" w:rsidP="00BC669D">
      <w:pPr>
        <w:rPr>
          <w:rFonts w:cs="Arial"/>
          <w:szCs w:val="20"/>
        </w:rPr>
      </w:pPr>
    </w:p>
    <w:p w:rsidR="00BC669D" w:rsidRPr="00BC669D" w:rsidRDefault="00BC669D" w:rsidP="00BC669D">
      <w:pPr>
        <w:rPr>
          <w:rFonts w:cs="Arial"/>
          <w:i/>
          <w:color w:val="2E74B5"/>
          <w:szCs w:val="20"/>
        </w:rPr>
      </w:pPr>
      <w:r w:rsidRPr="00BC669D">
        <w:rPr>
          <w:rFonts w:cs="Arial"/>
          <w:i/>
          <w:color w:val="2E74B5"/>
          <w:szCs w:val="20"/>
        </w:rPr>
        <w:t>Halfjaarlijkse evaluatie</w:t>
      </w:r>
    </w:p>
    <w:p w:rsidR="00BC669D" w:rsidRPr="00BC669D" w:rsidRDefault="00BC669D" w:rsidP="00BC669D">
      <w:pPr>
        <w:rPr>
          <w:rFonts w:cs="Arial"/>
          <w:szCs w:val="20"/>
        </w:rPr>
      </w:pPr>
      <w:r w:rsidRPr="00BC669D">
        <w:rPr>
          <w:rFonts w:cs="Arial"/>
          <w:szCs w:val="20"/>
        </w:rPr>
        <w:t xml:space="preserve">Omdat er in heel het land nog geen ervaring is met deze nieuwe verplichtingen en hieruit voortkomende taken, wordt geadviseerd om de situatie nauwlettend te volgen en deze in ieder geval ieder half jaar te evalueren. Aan de hand van een halfjaarlijkse evaluatie kan inzicht worden verkregen of dit toereikend is om kwalitatief goede en correcte invulling te geven aan de nieuwe dienstverlening. Aan de hand van de resultaten van de evaluatie kan worden bepaald of aanpassing in uitvoering en/of de financiële consequenties nodig is.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Hierbij is het de verwachting dat de werkzaamheden na de eerste 2 jaar zullen stabiliseren en dat er dan ook meer duidelijkheid is over het functioneren én dat er dan ook</w:t>
      </w:r>
      <w:r w:rsidR="00744556">
        <w:rPr>
          <w:rFonts w:cs="Arial"/>
          <w:szCs w:val="20"/>
        </w:rPr>
        <w:t xml:space="preserve"> uitvoeriger en breder </w:t>
      </w:r>
      <w:r w:rsidRPr="00BC669D">
        <w:rPr>
          <w:rFonts w:cs="Arial"/>
          <w:szCs w:val="20"/>
        </w:rPr>
        <w:t xml:space="preserve">kan worden gebenchmarkt met andere gemeenten. </w:t>
      </w:r>
    </w:p>
    <w:p w:rsidR="00BC669D" w:rsidRPr="00BC669D" w:rsidRDefault="00BC669D" w:rsidP="00BC669D">
      <w:pPr>
        <w:rPr>
          <w:rFonts w:cs="Arial"/>
          <w:szCs w:val="20"/>
        </w:rPr>
      </w:pPr>
    </w:p>
    <w:p w:rsidR="00BC669D" w:rsidRPr="00BC669D" w:rsidRDefault="00BC669D" w:rsidP="00BC669D">
      <w:pPr>
        <w:rPr>
          <w:rFonts w:cs="Arial"/>
          <w:i/>
          <w:color w:val="2E74B5" w:themeColor="accent1" w:themeShade="BF"/>
          <w:szCs w:val="20"/>
        </w:rPr>
      </w:pPr>
      <w:r w:rsidRPr="00BC669D">
        <w:rPr>
          <w:rFonts w:cs="Arial"/>
          <w:i/>
          <w:color w:val="2E74B5" w:themeColor="accent1" w:themeShade="BF"/>
          <w:szCs w:val="20"/>
        </w:rPr>
        <w:t>Mandatering</w:t>
      </w:r>
    </w:p>
    <w:p w:rsidR="00BC669D" w:rsidRPr="00BC669D" w:rsidRDefault="00BC669D" w:rsidP="00BC669D">
      <w:pPr>
        <w:tabs>
          <w:tab w:val="left" w:pos="7630"/>
        </w:tabs>
        <w:rPr>
          <w:rFonts w:cs="Arial"/>
          <w:iCs/>
          <w:szCs w:val="20"/>
        </w:rPr>
      </w:pPr>
      <w:r w:rsidRPr="00BC669D">
        <w:rPr>
          <w:rFonts w:cs="Arial"/>
          <w:szCs w:val="20"/>
        </w:rPr>
        <w:t>Om namens de Drechtsteden als FG te kunnen opereren dienen de afzonderlijke organisaties de bevoegdheid tot het aanwijzen van hun FG te mandateren aan de GRD. Voorgesteld wordt om te mandateren aan het DSB met de bevoegdheid om ondermandaat te verstrekken aan de algemeen directeur van de GRD</w:t>
      </w:r>
      <w:r w:rsidR="009A41FB">
        <w:rPr>
          <w:rFonts w:cs="Arial"/>
          <w:szCs w:val="20"/>
        </w:rPr>
        <w:t xml:space="preserve"> (z</w:t>
      </w:r>
      <w:r w:rsidRPr="00BC669D">
        <w:rPr>
          <w:rFonts w:cs="Arial"/>
          <w:szCs w:val="20"/>
        </w:rPr>
        <w:t>ie b</w:t>
      </w:r>
      <w:r w:rsidRPr="00BC669D">
        <w:rPr>
          <w:rFonts w:cs="Arial"/>
          <w:iCs/>
          <w:szCs w:val="20"/>
        </w:rPr>
        <w:t>ijlage 6: Ontwerp mandaatbesluit aanwijzing FG</w:t>
      </w:r>
      <w:r w:rsidR="009A41FB">
        <w:rPr>
          <w:rFonts w:cs="Arial"/>
          <w:iCs/>
          <w:szCs w:val="20"/>
        </w:rPr>
        <w:t>)</w:t>
      </w:r>
      <w:r w:rsidRPr="00BC669D">
        <w:rPr>
          <w:rFonts w:cs="Arial"/>
          <w:iCs/>
          <w:szCs w:val="20"/>
        </w:rPr>
        <w:t>.</w:t>
      </w:r>
    </w:p>
    <w:p w:rsidR="00BC669D" w:rsidRPr="00BC669D" w:rsidRDefault="00BC669D" w:rsidP="00BC669D">
      <w:pPr>
        <w:pStyle w:val="Lijstalinea"/>
        <w:ind w:left="0"/>
        <w:rPr>
          <w:rFonts w:cs="Arial"/>
          <w:b/>
          <w:szCs w:val="20"/>
        </w:rPr>
      </w:pPr>
    </w:p>
    <w:p w:rsidR="00BC669D" w:rsidRPr="00BC669D" w:rsidRDefault="00BC669D" w:rsidP="00BC669D">
      <w:pPr>
        <w:pStyle w:val="Lijstalinea"/>
        <w:ind w:left="0"/>
        <w:rPr>
          <w:rFonts w:cs="Arial"/>
          <w:b/>
          <w:szCs w:val="20"/>
        </w:rPr>
      </w:pPr>
      <w:r w:rsidRPr="00BC669D">
        <w:rPr>
          <w:rFonts w:cs="Arial"/>
          <w:b/>
          <w:szCs w:val="20"/>
        </w:rPr>
        <w:t>II. Invulling wettelijke verplichting Privacy beleid</w:t>
      </w:r>
    </w:p>
    <w:p w:rsidR="00BC669D" w:rsidRPr="00BC669D" w:rsidRDefault="00BC669D" w:rsidP="00BC669D">
      <w:pPr>
        <w:rPr>
          <w:rFonts w:cs="Arial"/>
          <w:szCs w:val="20"/>
        </w:rPr>
      </w:pPr>
      <w:r w:rsidRPr="00BC669D">
        <w:rPr>
          <w:rFonts w:cs="Arial"/>
          <w:szCs w:val="20"/>
        </w:rPr>
        <w:t xml:space="preserve">De GRD, deelnemende gemeenten en samenwerkingsverbanden dienen beleidskeuzes die samenhangen met het verwerken van persoonsgegevens op te stellen en vast te leggen.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 xml:space="preserve">Het Privacybeleid beschrijft de doorvertaling van de generieke normen uit de wet- en regelgeving (AVG en bijzondere wetten) naar de situatie binnen de GRD en binnen de afzonderlijke gemeenten en overige Gemeenschappelijke Regelingen.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 xml:space="preserve">Het betreft zowel de inhoud als de organisatie van het beleid. Het is van belang dat het onderwerp privacy op strategisch niveau wordt belegd. De verantwoordelijkheid dat wordt voldaan aan de AVG, </w:t>
      </w:r>
      <w:r w:rsidRPr="00BC669D">
        <w:rPr>
          <w:rFonts w:cs="Arial"/>
          <w:szCs w:val="20"/>
        </w:rPr>
        <w:lastRenderedPageBreak/>
        <w:t xml:space="preserve">berust voor de gemeenten bij de Colleges van B&amp;W. Bij de Gemeenschappelijke Regelingen ligt deze bij de directeuren van de aangesloten organisaties van de GRD. </w:t>
      </w:r>
    </w:p>
    <w:p w:rsidR="00BC669D" w:rsidRPr="00BC669D" w:rsidRDefault="00BC669D" w:rsidP="00BC669D">
      <w:pPr>
        <w:rPr>
          <w:rFonts w:cs="Arial"/>
          <w:szCs w:val="20"/>
        </w:rPr>
      </w:pPr>
    </w:p>
    <w:p w:rsidR="00BC669D" w:rsidRPr="00BC669D" w:rsidRDefault="00BC669D" w:rsidP="00BC669D">
      <w:pPr>
        <w:rPr>
          <w:rFonts w:cs="Arial"/>
          <w:szCs w:val="20"/>
        </w:rPr>
      </w:pPr>
      <w:r w:rsidRPr="00BC669D">
        <w:rPr>
          <w:rFonts w:cs="Arial"/>
          <w:szCs w:val="20"/>
        </w:rPr>
        <w:t xml:space="preserve">Om te voldoen aan deze wettelijke verplichting hebben wij het Privacy Beleid Drechtsteden opgesteld. Dit privacy beleid treft u als bijlage 2 aan. Dit beleid is in samenwerking met het CIO office en het JUDO opgesteld. Het uiteindelijke beleid dient lokaal te worden vastgesteld door de colleges van de gemeenten, door het Drechtstedenbestuur voor de GRD en door de dagelijks besturen van de GR OZHZ en DG&amp;J. </w:t>
      </w:r>
    </w:p>
    <w:p w:rsidR="00BC669D" w:rsidRDefault="00BC669D" w:rsidP="00BC669D">
      <w:pPr>
        <w:tabs>
          <w:tab w:val="left" w:pos="7630"/>
        </w:tabs>
        <w:rPr>
          <w:rFonts w:cs="Arial"/>
          <w:b/>
          <w:szCs w:val="20"/>
        </w:rPr>
      </w:pPr>
    </w:p>
    <w:p w:rsidR="00BC669D" w:rsidRPr="00BC669D" w:rsidRDefault="00BC669D" w:rsidP="00BC669D">
      <w:pPr>
        <w:tabs>
          <w:tab w:val="left" w:pos="7630"/>
        </w:tabs>
        <w:rPr>
          <w:rFonts w:cs="Arial"/>
          <w:b/>
          <w:szCs w:val="20"/>
        </w:rPr>
      </w:pPr>
      <w:r w:rsidRPr="00BC669D">
        <w:rPr>
          <w:rFonts w:cs="Arial"/>
          <w:b/>
          <w:szCs w:val="20"/>
        </w:rPr>
        <w:t>Consequenties</w:t>
      </w:r>
    </w:p>
    <w:p w:rsidR="00BC669D" w:rsidRPr="00BC669D" w:rsidRDefault="00BC669D" w:rsidP="00BC669D">
      <w:pPr>
        <w:tabs>
          <w:tab w:val="left" w:pos="7630"/>
        </w:tabs>
        <w:rPr>
          <w:rFonts w:cs="Arial"/>
          <w:i/>
          <w:szCs w:val="20"/>
        </w:rPr>
      </w:pPr>
      <w:r w:rsidRPr="00BC669D">
        <w:rPr>
          <w:rFonts w:cs="Arial"/>
          <w:i/>
          <w:szCs w:val="20"/>
        </w:rPr>
        <w:t>Financiële consequenties</w:t>
      </w:r>
    </w:p>
    <w:p w:rsidR="00BC669D" w:rsidRDefault="00BC669D" w:rsidP="00744556">
      <w:pPr>
        <w:tabs>
          <w:tab w:val="left" w:pos="7630"/>
        </w:tabs>
        <w:rPr>
          <w:rFonts w:cs="Arial"/>
          <w:szCs w:val="20"/>
        </w:rPr>
      </w:pPr>
      <w:r w:rsidRPr="00BC669D">
        <w:rPr>
          <w:rFonts w:cs="Arial"/>
          <w:szCs w:val="20"/>
        </w:rPr>
        <w:t>De kosten voor het aanstellen van de voorgestelde minimale capaciteit geraamd op 2 fte FG en 2,5 fte FG-adviseurs bedragen in totaal € 455.728 per jaar voor regionale invulling</w:t>
      </w:r>
      <w:r w:rsidR="00744556">
        <w:rPr>
          <w:rFonts w:cs="Arial"/>
          <w:szCs w:val="20"/>
        </w:rPr>
        <w:t xml:space="preserve">. </w:t>
      </w:r>
      <w:r w:rsidRPr="00BC669D">
        <w:rPr>
          <w:rFonts w:cs="Arial"/>
          <w:szCs w:val="20"/>
        </w:rPr>
        <w:t>Conform de verrekensystematiek zou dit voor de Drechtsteden tot de navolgende verdeling van de kosten leiden:</w:t>
      </w:r>
    </w:p>
    <w:p w:rsidR="00744556" w:rsidRPr="00BC669D" w:rsidRDefault="00744556" w:rsidP="00744556">
      <w:pPr>
        <w:tabs>
          <w:tab w:val="left" w:pos="7630"/>
        </w:tabs>
        <w:rPr>
          <w:rFonts w:cs="Arial"/>
          <w:szCs w:val="20"/>
        </w:rPr>
      </w:pPr>
    </w:p>
    <w:tbl>
      <w:tblPr>
        <w:tblW w:w="5529" w:type="dxa"/>
        <w:tblInd w:w="-10" w:type="dxa"/>
        <w:tblCellMar>
          <w:left w:w="70" w:type="dxa"/>
          <w:right w:w="70" w:type="dxa"/>
        </w:tblCellMar>
        <w:tblLook w:val="04A0" w:firstRow="1" w:lastRow="0" w:firstColumn="1" w:lastColumn="0" w:noHBand="0" w:noVBand="1"/>
      </w:tblPr>
      <w:tblGrid>
        <w:gridCol w:w="3436"/>
        <w:gridCol w:w="2093"/>
      </w:tblGrid>
      <w:tr w:rsidR="00BC669D" w:rsidRPr="00BC669D" w:rsidTr="00BC669D">
        <w:trPr>
          <w:trHeight w:val="228"/>
        </w:trPr>
        <w:tc>
          <w:tcPr>
            <w:tcW w:w="3436" w:type="dxa"/>
            <w:tcBorders>
              <w:top w:val="single" w:sz="8" w:space="0" w:color="auto"/>
              <w:left w:val="single" w:sz="8" w:space="0" w:color="auto"/>
              <w:bottom w:val="single" w:sz="8" w:space="0" w:color="auto"/>
              <w:right w:val="nil"/>
            </w:tcBorders>
            <w:shd w:val="clear" w:color="000000" w:fill="D9D9D9"/>
            <w:noWrap/>
            <w:vAlign w:val="bottom"/>
            <w:hideMark/>
          </w:tcPr>
          <w:p w:rsidR="00BC669D" w:rsidRPr="00BC669D" w:rsidRDefault="00BC669D" w:rsidP="00BC669D">
            <w:pPr>
              <w:rPr>
                <w:rFonts w:cs="Arial"/>
                <w:b/>
                <w:bCs/>
                <w:color w:val="000000"/>
                <w:sz w:val="18"/>
                <w:szCs w:val="20"/>
              </w:rPr>
            </w:pPr>
            <w:r w:rsidRPr="00BC669D">
              <w:rPr>
                <w:rFonts w:cs="Arial"/>
                <w:b/>
                <w:bCs/>
                <w:color w:val="000000"/>
                <w:sz w:val="18"/>
                <w:szCs w:val="20"/>
              </w:rPr>
              <w:t>Organisatie</w:t>
            </w:r>
          </w:p>
        </w:tc>
        <w:tc>
          <w:tcPr>
            <w:tcW w:w="209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C669D" w:rsidRPr="00BC669D" w:rsidRDefault="00BC669D" w:rsidP="00BC669D">
            <w:pPr>
              <w:rPr>
                <w:rFonts w:cs="Arial"/>
                <w:b/>
                <w:bCs/>
                <w:color w:val="000000"/>
                <w:sz w:val="18"/>
                <w:szCs w:val="20"/>
              </w:rPr>
            </w:pPr>
            <w:r w:rsidRPr="00BC669D">
              <w:rPr>
                <w:rFonts w:cs="Arial"/>
                <w:b/>
                <w:bCs/>
                <w:color w:val="000000"/>
                <w:sz w:val="18"/>
                <w:szCs w:val="20"/>
              </w:rPr>
              <w:t>Verdeling kosten</w:t>
            </w:r>
          </w:p>
        </w:tc>
      </w:tr>
      <w:tr w:rsidR="00BC669D" w:rsidRPr="00BC669D" w:rsidTr="00BC669D">
        <w:trPr>
          <w:trHeight w:val="218"/>
        </w:trPr>
        <w:tc>
          <w:tcPr>
            <w:tcW w:w="3436" w:type="dxa"/>
            <w:tcBorders>
              <w:top w:val="nil"/>
              <w:left w:val="single" w:sz="8" w:space="0" w:color="auto"/>
              <w:bottom w:val="single" w:sz="4" w:space="0" w:color="auto"/>
              <w:right w:val="nil"/>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Alblasserdam</w:t>
            </w:r>
          </w:p>
        </w:tc>
        <w:tc>
          <w:tcPr>
            <w:tcW w:w="2093" w:type="dxa"/>
            <w:tcBorders>
              <w:top w:val="nil"/>
              <w:left w:val="single" w:sz="8" w:space="0" w:color="auto"/>
              <w:bottom w:val="single" w:sz="4" w:space="0" w:color="auto"/>
              <w:right w:val="single" w:sz="8" w:space="0" w:color="auto"/>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 xml:space="preserve"> €                  20.402 </w:t>
            </w:r>
          </w:p>
        </w:tc>
      </w:tr>
      <w:tr w:rsidR="00BC669D" w:rsidRPr="00BC669D" w:rsidTr="00BC669D">
        <w:trPr>
          <w:trHeight w:val="218"/>
        </w:trPr>
        <w:tc>
          <w:tcPr>
            <w:tcW w:w="3436" w:type="dxa"/>
            <w:tcBorders>
              <w:top w:val="nil"/>
              <w:left w:val="single" w:sz="8" w:space="0" w:color="auto"/>
              <w:bottom w:val="single" w:sz="4" w:space="0" w:color="auto"/>
              <w:right w:val="nil"/>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Dordrecht</w:t>
            </w:r>
          </w:p>
        </w:tc>
        <w:tc>
          <w:tcPr>
            <w:tcW w:w="2093" w:type="dxa"/>
            <w:tcBorders>
              <w:top w:val="nil"/>
              <w:left w:val="single" w:sz="8" w:space="0" w:color="auto"/>
              <w:bottom w:val="single" w:sz="4" w:space="0" w:color="auto"/>
              <w:right w:val="single" w:sz="8" w:space="0" w:color="auto"/>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 xml:space="preserve"> €                235.311 </w:t>
            </w:r>
          </w:p>
        </w:tc>
      </w:tr>
      <w:tr w:rsidR="00BC669D" w:rsidRPr="00BC669D" w:rsidTr="00BC669D">
        <w:trPr>
          <w:trHeight w:val="189"/>
        </w:trPr>
        <w:tc>
          <w:tcPr>
            <w:tcW w:w="3436" w:type="dxa"/>
            <w:tcBorders>
              <w:top w:val="nil"/>
              <w:left w:val="single" w:sz="8" w:space="0" w:color="auto"/>
              <w:bottom w:val="single" w:sz="4" w:space="0" w:color="auto"/>
              <w:right w:val="nil"/>
            </w:tcBorders>
            <w:shd w:val="clear" w:color="auto" w:fill="auto"/>
            <w:vAlign w:val="center"/>
            <w:hideMark/>
          </w:tcPr>
          <w:p w:rsidR="00BC669D" w:rsidRPr="00BC669D" w:rsidRDefault="00BC669D" w:rsidP="00BC669D">
            <w:pPr>
              <w:rPr>
                <w:rFonts w:cs="Arial"/>
                <w:color w:val="000000"/>
                <w:sz w:val="18"/>
                <w:szCs w:val="20"/>
              </w:rPr>
            </w:pPr>
            <w:r w:rsidRPr="00BC669D">
              <w:rPr>
                <w:rFonts w:cs="Arial"/>
                <w:color w:val="000000"/>
                <w:sz w:val="18"/>
                <w:szCs w:val="20"/>
              </w:rPr>
              <w:t>Hendrik Ido Ambacht</w:t>
            </w:r>
          </w:p>
        </w:tc>
        <w:tc>
          <w:tcPr>
            <w:tcW w:w="2093" w:type="dxa"/>
            <w:tcBorders>
              <w:top w:val="nil"/>
              <w:left w:val="single" w:sz="8" w:space="0" w:color="auto"/>
              <w:bottom w:val="single" w:sz="4" w:space="0" w:color="auto"/>
              <w:right w:val="single" w:sz="8" w:space="0" w:color="auto"/>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 xml:space="preserve"> €                   25.061 </w:t>
            </w:r>
          </w:p>
        </w:tc>
      </w:tr>
      <w:tr w:rsidR="00BC669D" w:rsidRPr="00BC669D" w:rsidTr="00BC669D">
        <w:trPr>
          <w:trHeight w:val="218"/>
        </w:trPr>
        <w:tc>
          <w:tcPr>
            <w:tcW w:w="3436" w:type="dxa"/>
            <w:tcBorders>
              <w:top w:val="nil"/>
              <w:left w:val="single" w:sz="8" w:space="0" w:color="auto"/>
              <w:bottom w:val="single" w:sz="4" w:space="0" w:color="auto"/>
              <w:right w:val="nil"/>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Papendrecht</w:t>
            </w:r>
          </w:p>
        </w:tc>
        <w:tc>
          <w:tcPr>
            <w:tcW w:w="2093" w:type="dxa"/>
            <w:tcBorders>
              <w:top w:val="nil"/>
              <w:left w:val="single" w:sz="8" w:space="0" w:color="auto"/>
              <w:bottom w:val="single" w:sz="4" w:space="0" w:color="auto"/>
              <w:right w:val="single" w:sz="8" w:space="0" w:color="auto"/>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 xml:space="preserve"> €                   50.214 </w:t>
            </w:r>
          </w:p>
        </w:tc>
      </w:tr>
      <w:tr w:rsidR="00BC669D" w:rsidRPr="00BC669D" w:rsidTr="00BC669D">
        <w:trPr>
          <w:trHeight w:val="218"/>
        </w:trPr>
        <w:tc>
          <w:tcPr>
            <w:tcW w:w="3436" w:type="dxa"/>
            <w:tcBorders>
              <w:top w:val="nil"/>
              <w:left w:val="single" w:sz="8" w:space="0" w:color="auto"/>
              <w:bottom w:val="single" w:sz="4" w:space="0" w:color="auto"/>
              <w:right w:val="nil"/>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Sliedrecht</w:t>
            </w:r>
          </w:p>
        </w:tc>
        <w:tc>
          <w:tcPr>
            <w:tcW w:w="2093" w:type="dxa"/>
            <w:tcBorders>
              <w:top w:val="nil"/>
              <w:left w:val="single" w:sz="8" w:space="0" w:color="auto"/>
              <w:bottom w:val="single" w:sz="4" w:space="0" w:color="auto"/>
              <w:right w:val="single" w:sz="8" w:space="0" w:color="auto"/>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 xml:space="preserve"> €                   32.971 </w:t>
            </w:r>
          </w:p>
        </w:tc>
      </w:tr>
      <w:tr w:rsidR="00BC669D" w:rsidRPr="00BC669D" w:rsidTr="00BC669D">
        <w:trPr>
          <w:trHeight w:val="218"/>
        </w:trPr>
        <w:tc>
          <w:tcPr>
            <w:tcW w:w="3436" w:type="dxa"/>
            <w:tcBorders>
              <w:top w:val="nil"/>
              <w:left w:val="single" w:sz="8" w:space="0" w:color="auto"/>
              <w:bottom w:val="single" w:sz="4" w:space="0" w:color="auto"/>
              <w:right w:val="nil"/>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Zwijndrecht</w:t>
            </w:r>
          </w:p>
        </w:tc>
        <w:tc>
          <w:tcPr>
            <w:tcW w:w="2093" w:type="dxa"/>
            <w:tcBorders>
              <w:top w:val="nil"/>
              <w:left w:val="single" w:sz="8" w:space="0" w:color="auto"/>
              <w:bottom w:val="single" w:sz="4" w:space="0" w:color="auto"/>
              <w:right w:val="single" w:sz="8" w:space="0" w:color="auto"/>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 xml:space="preserve"> €                   66.646 </w:t>
            </w:r>
          </w:p>
        </w:tc>
      </w:tr>
      <w:tr w:rsidR="00BC669D" w:rsidRPr="00BC669D" w:rsidTr="00BC669D">
        <w:trPr>
          <w:trHeight w:val="145"/>
        </w:trPr>
        <w:tc>
          <w:tcPr>
            <w:tcW w:w="3436" w:type="dxa"/>
            <w:tcBorders>
              <w:top w:val="nil"/>
              <w:left w:val="single" w:sz="8" w:space="0" w:color="auto"/>
              <w:bottom w:val="nil"/>
              <w:right w:val="nil"/>
            </w:tcBorders>
            <w:shd w:val="clear" w:color="auto" w:fill="auto"/>
            <w:vAlign w:val="center"/>
            <w:hideMark/>
          </w:tcPr>
          <w:p w:rsidR="00BC669D" w:rsidRPr="00BC669D" w:rsidRDefault="00BC669D" w:rsidP="00BC669D">
            <w:pPr>
              <w:rPr>
                <w:rFonts w:cs="Arial"/>
                <w:color w:val="000000"/>
                <w:sz w:val="18"/>
                <w:szCs w:val="20"/>
              </w:rPr>
            </w:pPr>
            <w:r w:rsidRPr="00BC669D">
              <w:rPr>
                <w:rFonts w:cs="Arial"/>
                <w:color w:val="000000"/>
                <w:sz w:val="18"/>
                <w:szCs w:val="20"/>
              </w:rPr>
              <w:t>Hardinxveld Giessendam</w:t>
            </w:r>
          </w:p>
        </w:tc>
        <w:tc>
          <w:tcPr>
            <w:tcW w:w="2093" w:type="dxa"/>
            <w:tcBorders>
              <w:top w:val="nil"/>
              <w:left w:val="single" w:sz="8" w:space="0" w:color="auto"/>
              <w:bottom w:val="nil"/>
              <w:right w:val="single" w:sz="8" w:space="0" w:color="auto"/>
            </w:tcBorders>
            <w:shd w:val="clear" w:color="auto" w:fill="auto"/>
            <w:noWrap/>
            <w:vAlign w:val="bottom"/>
            <w:hideMark/>
          </w:tcPr>
          <w:p w:rsidR="00BC669D" w:rsidRPr="00BC669D" w:rsidRDefault="00BC669D" w:rsidP="00BC669D">
            <w:pPr>
              <w:rPr>
                <w:rFonts w:cs="Arial"/>
                <w:color w:val="000000"/>
                <w:sz w:val="18"/>
                <w:szCs w:val="20"/>
              </w:rPr>
            </w:pPr>
            <w:r w:rsidRPr="00BC669D">
              <w:rPr>
                <w:rFonts w:cs="Arial"/>
                <w:color w:val="000000"/>
                <w:sz w:val="18"/>
                <w:szCs w:val="20"/>
              </w:rPr>
              <w:t xml:space="preserve"> €                   25.123 </w:t>
            </w:r>
          </w:p>
        </w:tc>
      </w:tr>
      <w:tr w:rsidR="00BC669D" w:rsidRPr="00BC669D" w:rsidTr="00BC669D">
        <w:trPr>
          <w:trHeight w:val="228"/>
        </w:trPr>
        <w:tc>
          <w:tcPr>
            <w:tcW w:w="3436" w:type="dxa"/>
            <w:tcBorders>
              <w:top w:val="single" w:sz="8" w:space="0" w:color="auto"/>
              <w:left w:val="single" w:sz="8" w:space="0" w:color="auto"/>
              <w:bottom w:val="single" w:sz="8" w:space="0" w:color="auto"/>
              <w:right w:val="nil"/>
            </w:tcBorders>
            <w:shd w:val="clear" w:color="000000" w:fill="D9D9D9"/>
            <w:noWrap/>
            <w:vAlign w:val="bottom"/>
            <w:hideMark/>
          </w:tcPr>
          <w:p w:rsidR="00BC669D" w:rsidRPr="00BC669D" w:rsidRDefault="00BC669D" w:rsidP="00BC669D">
            <w:pPr>
              <w:rPr>
                <w:rFonts w:cs="Arial"/>
                <w:b/>
                <w:bCs/>
                <w:color w:val="000000"/>
                <w:sz w:val="18"/>
                <w:szCs w:val="20"/>
              </w:rPr>
            </w:pPr>
            <w:r w:rsidRPr="00BC669D">
              <w:rPr>
                <w:rFonts w:cs="Arial"/>
                <w:b/>
                <w:bCs/>
                <w:color w:val="000000"/>
                <w:sz w:val="18"/>
                <w:szCs w:val="20"/>
              </w:rPr>
              <w:t>Totaal</w:t>
            </w:r>
          </w:p>
        </w:tc>
        <w:tc>
          <w:tcPr>
            <w:tcW w:w="209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C669D" w:rsidRPr="00BC669D" w:rsidRDefault="00BC669D" w:rsidP="00BC669D">
            <w:pPr>
              <w:rPr>
                <w:rFonts w:cs="Arial"/>
                <w:b/>
                <w:bCs/>
                <w:color w:val="000000"/>
                <w:sz w:val="18"/>
                <w:szCs w:val="20"/>
              </w:rPr>
            </w:pPr>
            <w:r w:rsidRPr="00BC669D">
              <w:rPr>
                <w:rFonts w:cs="Arial"/>
                <w:b/>
                <w:bCs/>
                <w:color w:val="000000"/>
                <w:sz w:val="18"/>
                <w:szCs w:val="20"/>
              </w:rPr>
              <w:t xml:space="preserve"> €                455.728 </w:t>
            </w:r>
          </w:p>
        </w:tc>
      </w:tr>
    </w:tbl>
    <w:p w:rsidR="00BC669D" w:rsidRPr="00BC669D" w:rsidRDefault="00BC669D" w:rsidP="00BC669D">
      <w:pPr>
        <w:tabs>
          <w:tab w:val="left" w:pos="7630"/>
        </w:tabs>
        <w:rPr>
          <w:rFonts w:cs="Arial"/>
          <w:szCs w:val="20"/>
        </w:rPr>
      </w:pPr>
    </w:p>
    <w:p w:rsidR="00BC669D" w:rsidRPr="00BC669D" w:rsidRDefault="00BC669D" w:rsidP="00BC669D">
      <w:pPr>
        <w:tabs>
          <w:tab w:val="left" w:pos="7630"/>
        </w:tabs>
        <w:rPr>
          <w:rFonts w:cs="Arial"/>
          <w:szCs w:val="20"/>
        </w:rPr>
      </w:pPr>
      <w:r w:rsidRPr="00BC669D">
        <w:rPr>
          <w:rFonts w:cs="Arial"/>
          <w:i/>
          <w:szCs w:val="20"/>
        </w:rPr>
        <w:t>Personele en organisatorische consequenties</w:t>
      </w:r>
    </w:p>
    <w:p w:rsidR="00BC669D" w:rsidRPr="00BC669D" w:rsidRDefault="00BC669D" w:rsidP="00BC669D">
      <w:pPr>
        <w:tabs>
          <w:tab w:val="left" w:pos="709"/>
          <w:tab w:val="left" w:pos="7630"/>
        </w:tabs>
        <w:rPr>
          <w:rFonts w:cs="Arial"/>
          <w:szCs w:val="20"/>
        </w:rPr>
      </w:pPr>
      <w:r w:rsidRPr="00BC669D">
        <w:rPr>
          <w:rFonts w:cs="Arial"/>
          <w:szCs w:val="20"/>
        </w:rPr>
        <w:t xml:space="preserve">De aanvullende taken die de GRD op verzoek van de </w:t>
      </w:r>
      <w:r w:rsidR="00F82455">
        <w:rPr>
          <w:rFonts w:cs="Arial"/>
          <w:szCs w:val="20"/>
        </w:rPr>
        <w:t>gemeenten uit</w:t>
      </w:r>
      <w:r w:rsidRPr="00BC669D">
        <w:rPr>
          <w:rFonts w:cs="Arial"/>
          <w:szCs w:val="20"/>
        </w:rPr>
        <w:t>voert om hiermee op regionaal niveau invulling te geven aan de AVG leiden tot een formatie uitbreiding van 4,5 fte. In bijlagen 3 en 4 vindt u informatie over de functieprofielen.</w:t>
      </w:r>
    </w:p>
    <w:p w:rsidR="00BC669D" w:rsidRPr="00BC669D" w:rsidRDefault="00BC669D" w:rsidP="00BC669D">
      <w:pPr>
        <w:tabs>
          <w:tab w:val="left" w:pos="709"/>
          <w:tab w:val="left" w:pos="7630"/>
        </w:tabs>
        <w:rPr>
          <w:rFonts w:cs="Arial"/>
          <w:szCs w:val="20"/>
        </w:rPr>
      </w:pPr>
    </w:p>
    <w:p w:rsidR="00BC669D" w:rsidRPr="00BC669D" w:rsidRDefault="00BC669D" w:rsidP="00BC669D">
      <w:pPr>
        <w:tabs>
          <w:tab w:val="left" w:pos="709"/>
          <w:tab w:val="left" w:pos="7630"/>
        </w:tabs>
        <w:rPr>
          <w:rFonts w:cs="Arial"/>
          <w:i/>
          <w:szCs w:val="20"/>
        </w:rPr>
      </w:pPr>
      <w:r w:rsidRPr="00BC669D">
        <w:rPr>
          <w:rFonts w:cs="Arial"/>
          <w:i/>
          <w:szCs w:val="20"/>
        </w:rPr>
        <w:t>Juridische consequenties</w:t>
      </w:r>
    </w:p>
    <w:p w:rsidR="00BC669D" w:rsidRPr="00BC669D" w:rsidRDefault="00BC669D" w:rsidP="00BC669D">
      <w:pPr>
        <w:tabs>
          <w:tab w:val="left" w:pos="709"/>
          <w:tab w:val="left" w:pos="7630"/>
        </w:tabs>
        <w:rPr>
          <w:rFonts w:cs="Arial"/>
          <w:szCs w:val="20"/>
        </w:rPr>
      </w:pPr>
      <w:r w:rsidRPr="00BC669D">
        <w:rPr>
          <w:rFonts w:cs="Arial"/>
          <w:szCs w:val="20"/>
        </w:rPr>
        <w:t xml:space="preserve">Zie hierboven, o.a.: </w:t>
      </w:r>
    </w:p>
    <w:p w:rsidR="00BC669D" w:rsidRPr="00BC669D" w:rsidRDefault="00BC669D" w:rsidP="00BC669D">
      <w:pPr>
        <w:pStyle w:val="Lijstalinea"/>
        <w:numPr>
          <w:ilvl w:val="0"/>
          <w:numId w:val="28"/>
        </w:numPr>
        <w:tabs>
          <w:tab w:val="left" w:pos="567"/>
          <w:tab w:val="left" w:pos="7630"/>
        </w:tabs>
        <w:ind w:left="567" w:hanging="207"/>
        <w:rPr>
          <w:rFonts w:cs="Arial"/>
          <w:szCs w:val="20"/>
        </w:rPr>
      </w:pPr>
      <w:r w:rsidRPr="00BC669D">
        <w:rPr>
          <w:rFonts w:cs="Arial"/>
          <w:szCs w:val="20"/>
        </w:rPr>
        <w:t>Het centraal organiseren van de wettelijk verplichting met betrekking tot de FG;</w:t>
      </w:r>
    </w:p>
    <w:p w:rsidR="00BC669D" w:rsidRPr="00BC669D" w:rsidRDefault="00BC669D" w:rsidP="00BC669D">
      <w:pPr>
        <w:pStyle w:val="Lijstalinea"/>
        <w:numPr>
          <w:ilvl w:val="0"/>
          <w:numId w:val="28"/>
        </w:numPr>
        <w:tabs>
          <w:tab w:val="left" w:pos="567"/>
          <w:tab w:val="left" w:pos="7630"/>
        </w:tabs>
        <w:ind w:left="567" w:hanging="207"/>
        <w:rPr>
          <w:rFonts w:cs="Arial"/>
          <w:szCs w:val="20"/>
        </w:rPr>
      </w:pPr>
      <w:r w:rsidRPr="00BC669D">
        <w:rPr>
          <w:rFonts w:cs="Arial"/>
          <w:szCs w:val="20"/>
        </w:rPr>
        <w:t>Het lokaal vaststellen van Privacybeleid;</w:t>
      </w:r>
    </w:p>
    <w:p w:rsidR="00BC669D" w:rsidRPr="00BC669D" w:rsidRDefault="00BC669D" w:rsidP="00BC669D">
      <w:pPr>
        <w:pStyle w:val="Lijstalinea"/>
        <w:numPr>
          <w:ilvl w:val="0"/>
          <w:numId w:val="28"/>
        </w:numPr>
        <w:tabs>
          <w:tab w:val="left" w:pos="567"/>
          <w:tab w:val="left" w:pos="7630"/>
        </w:tabs>
        <w:ind w:left="567" w:hanging="207"/>
        <w:rPr>
          <w:rFonts w:cs="Arial"/>
          <w:szCs w:val="20"/>
        </w:rPr>
      </w:pPr>
      <w:r w:rsidRPr="00BC669D">
        <w:rPr>
          <w:rFonts w:cs="Arial"/>
          <w:szCs w:val="20"/>
        </w:rPr>
        <w:t>Het verlenen van mandaat (en de mogelijkheid van ondermandaat) aan het DSB.</w:t>
      </w:r>
    </w:p>
    <w:p w:rsidR="00BC669D" w:rsidRPr="00BC669D" w:rsidRDefault="00BC669D" w:rsidP="00BC669D">
      <w:pPr>
        <w:tabs>
          <w:tab w:val="left" w:pos="709"/>
          <w:tab w:val="left" w:pos="7630"/>
        </w:tabs>
        <w:rPr>
          <w:rFonts w:cs="Arial"/>
          <w:szCs w:val="20"/>
        </w:rPr>
      </w:pPr>
    </w:p>
    <w:p w:rsidR="00BC669D" w:rsidRPr="00BC669D" w:rsidRDefault="00BC669D" w:rsidP="00BC669D">
      <w:pPr>
        <w:tabs>
          <w:tab w:val="left" w:pos="709"/>
          <w:tab w:val="left" w:pos="7630"/>
        </w:tabs>
        <w:rPr>
          <w:rFonts w:cs="Arial"/>
          <w:i/>
          <w:szCs w:val="20"/>
        </w:rPr>
      </w:pPr>
      <w:r w:rsidRPr="00BC669D">
        <w:rPr>
          <w:rFonts w:cs="Arial"/>
          <w:i/>
          <w:szCs w:val="20"/>
        </w:rPr>
        <w:t>Consequenties voor andere beleidsvelden en organisaties</w:t>
      </w:r>
    </w:p>
    <w:p w:rsidR="00BC669D" w:rsidRPr="00BC669D" w:rsidRDefault="00BC669D" w:rsidP="00BC669D">
      <w:pPr>
        <w:tabs>
          <w:tab w:val="left" w:pos="7630"/>
        </w:tabs>
        <w:rPr>
          <w:rFonts w:cs="Arial"/>
          <w:szCs w:val="20"/>
        </w:rPr>
      </w:pPr>
      <w:r w:rsidRPr="00BC669D">
        <w:rPr>
          <w:rFonts w:cs="Arial"/>
          <w:szCs w:val="20"/>
        </w:rPr>
        <w:t>n.v.t.</w:t>
      </w:r>
    </w:p>
    <w:p w:rsidR="00BC669D" w:rsidRPr="00BC669D" w:rsidRDefault="00BC669D" w:rsidP="00BC669D">
      <w:pPr>
        <w:tabs>
          <w:tab w:val="left" w:pos="7630"/>
        </w:tabs>
        <w:rPr>
          <w:rFonts w:cs="Arial"/>
          <w:color w:val="2E74B5" w:themeColor="accent1" w:themeShade="BF"/>
          <w:szCs w:val="20"/>
        </w:rPr>
      </w:pPr>
    </w:p>
    <w:p w:rsidR="00BC669D" w:rsidRPr="00BC669D" w:rsidRDefault="00BC669D" w:rsidP="00BC669D">
      <w:pPr>
        <w:tabs>
          <w:tab w:val="left" w:pos="7630"/>
        </w:tabs>
        <w:rPr>
          <w:rFonts w:cs="Arial"/>
          <w:b/>
          <w:szCs w:val="20"/>
        </w:rPr>
      </w:pPr>
      <w:r w:rsidRPr="00BC669D">
        <w:rPr>
          <w:rFonts w:cs="Arial"/>
          <w:b/>
          <w:szCs w:val="20"/>
        </w:rPr>
        <w:t>Advies en draagvlak</w:t>
      </w:r>
    </w:p>
    <w:p w:rsidR="00BC669D" w:rsidRPr="00BC669D" w:rsidRDefault="00BC669D" w:rsidP="00BC669D">
      <w:pPr>
        <w:tabs>
          <w:tab w:val="left" w:pos="7630"/>
        </w:tabs>
        <w:rPr>
          <w:rFonts w:cs="Arial"/>
          <w:i/>
          <w:szCs w:val="20"/>
        </w:rPr>
      </w:pPr>
      <w:r w:rsidRPr="00BC669D">
        <w:rPr>
          <w:rFonts w:cs="Arial"/>
          <w:i/>
          <w:szCs w:val="20"/>
        </w:rPr>
        <w:t>Bedrijfsvoeringsstrategie 2017-2020</w:t>
      </w:r>
    </w:p>
    <w:p w:rsidR="00BC669D" w:rsidRPr="00BC669D" w:rsidRDefault="00BC669D" w:rsidP="00BC669D">
      <w:pPr>
        <w:tabs>
          <w:tab w:val="left" w:pos="7630"/>
        </w:tabs>
        <w:rPr>
          <w:rFonts w:cs="Arial"/>
          <w:i/>
          <w:szCs w:val="20"/>
        </w:rPr>
      </w:pPr>
      <w:r w:rsidRPr="00BC669D">
        <w:rPr>
          <w:rFonts w:cs="Arial"/>
          <w:szCs w:val="20"/>
        </w:rPr>
        <w:t xml:space="preserve">Eerder dit jaar hebben het ONS-D en Netwerk MT Middelen de gezamenlijke ambities en opgaven voor ons netwerk op het brede terrein van de bedrijfsvoering vastgelegd in de bedrijfsvoeringsstrategie. Informatieveiligheid en privacy, het voldoen aan regelgeving van de AVG zijn in deze strategie nadrukkelijk genoemd als urgente onderwerpen. Het binnen onze organisaties en netwerk borgen van privacy en informatiebeveiliging, het voldoen aan regelgeving van de AVG is tevens opgenomen als doelstelling binnen de pijler 'Organisatie en informatie klaar voor de toekomst'. </w:t>
      </w:r>
    </w:p>
    <w:p w:rsidR="00BC669D" w:rsidRPr="00BC669D" w:rsidRDefault="00BC669D" w:rsidP="00BC669D">
      <w:pPr>
        <w:tabs>
          <w:tab w:val="left" w:pos="7630"/>
        </w:tabs>
        <w:rPr>
          <w:rFonts w:cs="Arial"/>
          <w:szCs w:val="20"/>
        </w:rPr>
      </w:pPr>
    </w:p>
    <w:p w:rsidR="00BC669D" w:rsidRPr="00BC669D" w:rsidRDefault="00BC669D" w:rsidP="00BC669D">
      <w:pPr>
        <w:tabs>
          <w:tab w:val="left" w:pos="7630"/>
        </w:tabs>
        <w:rPr>
          <w:rFonts w:cs="Arial"/>
          <w:b/>
          <w:szCs w:val="20"/>
        </w:rPr>
      </w:pPr>
      <w:r w:rsidRPr="00BC669D">
        <w:rPr>
          <w:rFonts w:cs="Arial"/>
          <w:b/>
          <w:szCs w:val="20"/>
        </w:rPr>
        <w:t>Verdere procedure</w:t>
      </w:r>
    </w:p>
    <w:p w:rsidR="00BC669D" w:rsidRPr="00BC669D" w:rsidRDefault="00BC669D" w:rsidP="00BC669D">
      <w:pPr>
        <w:rPr>
          <w:rFonts w:cs="Arial"/>
          <w:szCs w:val="20"/>
        </w:rPr>
      </w:pPr>
      <w:r w:rsidRPr="00BC669D">
        <w:rPr>
          <w:rFonts w:cs="Arial"/>
          <w:szCs w:val="20"/>
        </w:rPr>
        <w:t>Het ONS-D heeft op 30 november 2017 opiniërend gesproken over het voorstel en stelt het navolgende voor:</w:t>
      </w:r>
    </w:p>
    <w:p w:rsidR="00BC669D" w:rsidRPr="00BC669D" w:rsidRDefault="00BC669D" w:rsidP="00BC669D">
      <w:pPr>
        <w:pStyle w:val="Lijstalinea"/>
        <w:numPr>
          <w:ilvl w:val="0"/>
          <w:numId w:val="28"/>
        </w:numPr>
        <w:rPr>
          <w:rFonts w:cs="Arial"/>
          <w:i/>
          <w:szCs w:val="20"/>
        </w:rPr>
      </w:pPr>
      <w:r w:rsidRPr="00BC669D">
        <w:rPr>
          <w:rFonts w:cs="Arial"/>
          <w:i/>
          <w:szCs w:val="20"/>
        </w:rPr>
        <w:t>De voorstellen voor het Privacybeleid en voor de FG met de financiële consequenties per gemeente en begrotingswijziging in de colleges te laten vaststellen;</w:t>
      </w:r>
    </w:p>
    <w:p w:rsidR="00BC669D" w:rsidRPr="00BC669D" w:rsidRDefault="00BC669D" w:rsidP="00BC669D">
      <w:pPr>
        <w:pStyle w:val="Lijstalinea"/>
        <w:numPr>
          <w:ilvl w:val="0"/>
          <w:numId w:val="28"/>
        </w:numPr>
        <w:rPr>
          <w:rFonts w:cs="Arial"/>
          <w:i/>
          <w:szCs w:val="20"/>
        </w:rPr>
      </w:pPr>
      <w:r w:rsidRPr="00BC669D">
        <w:rPr>
          <w:rFonts w:cs="Arial"/>
          <w:i/>
          <w:szCs w:val="20"/>
        </w:rPr>
        <w:t>Na vaststelling in de 7 gemeenten kan de extra inzet/inleg voor de GRD dan in de 1</w:t>
      </w:r>
      <w:r w:rsidRPr="00BC669D">
        <w:rPr>
          <w:rFonts w:cs="Arial"/>
          <w:i/>
          <w:szCs w:val="20"/>
          <w:vertAlign w:val="superscript"/>
        </w:rPr>
        <w:t>e</w:t>
      </w:r>
      <w:r w:rsidRPr="00BC669D">
        <w:rPr>
          <w:rFonts w:cs="Arial"/>
          <w:i/>
          <w:szCs w:val="20"/>
        </w:rPr>
        <w:t xml:space="preserve"> burap 2018 technisch worden verwerkt;</w:t>
      </w:r>
    </w:p>
    <w:p w:rsidR="00BC669D" w:rsidRPr="00BC669D" w:rsidRDefault="00BC669D" w:rsidP="00BC669D">
      <w:pPr>
        <w:pStyle w:val="Lijstalinea"/>
        <w:numPr>
          <w:ilvl w:val="0"/>
          <w:numId w:val="28"/>
        </w:numPr>
        <w:rPr>
          <w:rFonts w:cs="Arial"/>
          <w:i/>
          <w:szCs w:val="20"/>
        </w:rPr>
      </w:pPr>
      <w:r w:rsidRPr="00BC669D">
        <w:rPr>
          <w:rFonts w:cs="Arial"/>
          <w:i/>
          <w:szCs w:val="20"/>
        </w:rPr>
        <w:t xml:space="preserve">Voorgesteld om het buiten het proces van de geactualiseerde Perspectiefnota 2018 te houden. </w:t>
      </w:r>
    </w:p>
    <w:p w:rsidR="002074F5" w:rsidRPr="00BC669D" w:rsidRDefault="002074F5" w:rsidP="00BC669D">
      <w:pPr>
        <w:tabs>
          <w:tab w:val="left" w:pos="7630"/>
        </w:tabs>
        <w:rPr>
          <w:rFonts w:cs="Arial"/>
          <w:szCs w:val="20"/>
        </w:rPr>
      </w:pPr>
    </w:p>
    <w:p w:rsidR="005B507C" w:rsidRPr="00BC669D" w:rsidRDefault="005B507C" w:rsidP="00BC669D">
      <w:pPr>
        <w:pStyle w:val="Kop5"/>
        <w:spacing w:before="0" w:after="0"/>
        <w:rPr>
          <w:rFonts w:cs="Arial"/>
          <w:szCs w:val="20"/>
        </w:rPr>
      </w:pPr>
      <w:r w:rsidRPr="00BC669D">
        <w:rPr>
          <w:rFonts w:cs="Arial"/>
          <w:szCs w:val="20"/>
        </w:rPr>
        <w:t>Onderliggende stukken</w:t>
      </w:r>
    </w:p>
    <w:p w:rsidR="00BC669D" w:rsidRPr="00BC669D" w:rsidRDefault="00BC669D" w:rsidP="00BC669D">
      <w:pPr>
        <w:rPr>
          <w:rFonts w:cs="Arial"/>
          <w:iCs/>
          <w:szCs w:val="20"/>
        </w:rPr>
      </w:pPr>
      <w:r w:rsidRPr="00BC669D">
        <w:rPr>
          <w:rFonts w:cs="Arial"/>
          <w:iCs/>
          <w:szCs w:val="20"/>
        </w:rPr>
        <w:t>Bijlage 1: Overzicht bouwstenen Project Privacy Compliance</w:t>
      </w:r>
    </w:p>
    <w:p w:rsidR="00BC669D" w:rsidRPr="00BC669D" w:rsidRDefault="00BC669D" w:rsidP="00BC669D">
      <w:pPr>
        <w:rPr>
          <w:rFonts w:cs="Arial"/>
          <w:iCs/>
          <w:szCs w:val="20"/>
        </w:rPr>
      </w:pPr>
      <w:r w:rsidRPr="00BC669D">
        <w:rPr>
          <w:rFonts w:cs="Arial"/>
          <w:iCs/>
          <w:szCs w:val="20"/>
        </w:rPr>
        <w:t>Bijlage 2: Privacybeleid Drechtsteden</w:t>
      </w:r>
    </w:p>
    <w:p w:rsidR="00BC669D" w:rsidRPr="00BC669D" w:rsidRDefault="00BC669D" w:rsidP="00BC669D">
      <w:pPr>
        <w:rPr>
          <w:rFonts w:cs="Arial"/>
          <w:iCs/>
          <w:szCs w:val="20"/>
        </w:rPr>
      </w:pPr>
      <w:r w:rsidRPr="00BC669D">
        <w:rPr>
          <w:rFonts w:cs="Arial"/>
          <w:iCs/>
          <w:szCs w:val="20"/>
        </w:rPr>
        <w:t>Bijlage 3: Functieprofiel Functionaris Gegevensbescherming (FG)</w:t>
      </w:r>
    </w:p>
    <w:p w:rsidR="00BC669D" w:rsidRPr="00BC669D" w:rsidRDefault="00BC669D" w:rsidP="00BC669D">
      <w:pPr>
        <w:rPr>
          <w:rFonts w:cs="Arial"/>
          <w:iCs/>
          <w:szCs w:val="20"/>
        </w:rPr>
      </w:pPr>
      <w:r w:rsidRPr="00BC669D">
        <w:rPr>
          <w:rFonts w:cs="Arial"/>
          <w:iCs/>
          <w:szCs w:val="20"/>
        </w:rPr>
        <w:t>Bijlage 4: Functieprofiel Functionaris Gegevensbescherming Adviseur</w:t>
      </w:r>
    </w:p>
    <w:p w:rsidR="00BC669D" w:rsidRPr="00BC669D" w:rsidRDefault="00BC669D" w:rsidP="00BC669D">
      <w:pPr>
        <w:rPr>
          <w:rFonts w:cs="Arial"/>
          <w:iCs/>
          <w:szCs w:val="20"/>
        </w:rPr>
      </w:pPr>
      <w:r w:rsidRPr="00BC669D">
        <w:rPr>
          <w:rFonts w:cs="Arial"/>
          <w:iCs/>
          <w:szCs w:val="20"/>
        </w:rPr>
        <w:t>Bijlage 5: Functieprofiel Privacy Coördinator (concept)</w:t>
      </w:r>
    </w:p>
    <w:p w:rsidR="00F82455" w:rsidRDefault="00BC669D" w:rsidP="00744556">
      <w:pPr>
        <w:tabs>
          <w:tab w:val="left" w:pos="7630"/>
        </w:tabs>
        <w:rPr>
          <w:rFonts w:ascii="Verdana" w:hAnsi="Verdana" w:cs="Arial"/>
          <w:b/>
          <w:i/>
          <w:sz w:val="24"/>
        </w:rPr>
      </w:pPr>
      <w:r w:rsidRPr="00BC669D">
        <w:rPr>
          <w:rFonts w:cs="Arial"/>
          <w:iCs/>
          <w:szCs w:val="20"/>
        </w:rPr>
        <w:t>Bijlage 6: Ontwerp mandaatbesluit aanwijzing FG</w:t>
      </w:r>
    </w:p>
    <w:sectPr w:rsidR="00F82455" w:rsidSect="005B507C">
      <w:headerReference w:type="default" r:id="rId10"/>
      <w:headerReference w:type="first" r:id="rId11"/>
      <w:footerReference w:type="first" r:id="rId12"/>
      <w:pgSz w:w="11906" w:h="16838" w:code="9"/>
      <w:pgMar w:top="1418" w:right="1361" w:bottom="539" w:left="1361" w:header="851"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5F" w:rsidRDefault="0025015F">
      <w:r>
        <w:separator/>
      </w:r>
    </w:p>
  </w:endnote>
  <w:endnote w:type="continuationSeparator" w:id="0">
    <w:p w:rsidR="0025015F" w:rsidRDefault="002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0" w:type="dxa"/>
      <w:tblCellMar>
        <w:left w:w="0" w:type="dxa"/>
        <w:right w:w="0" w:type="dxa"/>
      </w:tblCellMar>
      <w:tblLook w:val="0000" w:firstRow="0" w:lastRow="0" w:firstColumn="0" w:lastColumn="0" w:noHBand="0" w:noVBand="0"/>
    </w:tblPr>
    <w:tblGrid>
      <w:gridCol w:w="9200"/>
    </w:tblGrid>
    <w:tr w:rsidR="00B35A07">
      <w:trPr>
        <w:cantSplit/>
      </w:trPr>
      <w:tc>
        <w:tcPr>
          <w:tcW w:w="9200" w:type="dxa"/>
        </w:tcPr>
        <w:p w:rsidR="00B35A07" w:rsidRDefault="00B35A07">
          <w:pPr>
            <w:pStyle w:val="Voettekst"/>
          </w:pPr>
        </w:p>
      </w:tc>
    </w:tr>
  </w:tbl>
  <w:p w:rsidR="00B35A07" w:rsidRDefault="00B35A07">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5F" w:rsidRDefault="0025015F">
      <w:r>
        <w:separator/>
      </w:r>
    </w:p>
  </w:footnote>
  <w:footnote w:type="continuationSeparator" w:id="0">
    <w:p w:rsidR="0025015F" w:rsidRDefault="0025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07" w:rsidRPr="00BF6FC7" w:rsidRDefault="00B35A07" w:rsidP="000A2610">
    <w:pPr>
      <w:pStyle w:val="Koptekst"/>
      <w:pBdr>
        <w:bottom w:val="single" w:sz="6" w:space="1" w:color="auto"/>
      </w:pBdr>
      <w:ind w:right="360"/>
      <w:rPr>
        <w:rFonts w:cs="Arial"/>
        <w:szCs w:val="18"/>
      </w:rPr>
    </w:pPr>
    <w:r w:rsidRPr="00BF6FC7">
      <w:rPr>
        <w:rFonts w:cs="Arial"/>
        <w:szCs w:val="18"/>
      </w:rPr>
      <w:t xml:space="preserve">pagina </w:t>
    </w:r>
    <w:r w:rsidRPr="00BF6FC7">
      <w:rPr>
        <w:rFonts w:cs="Arial"/>
        <w:szCs w:val="18"/>
      </w:rPr>
      <w:fldChar w:fldCharType="begin"/>
    </w:r>
    <w:r w:rsidRPr="00BF6FC7">
      <w:rPr>
        <w:rFonts w:cs="Arial"/>
        <w:szCs w:val="18"/>
      </w:rPr>
      <w:instrText xml:space="preserve"> PAGE </w:instrText>
    </w:r>
    <w:r w:rsidRPr="00BF6FC7">
      <w:rPr>
        <w:rFonts w:cs="Arial"/>
        <w:szCs w:val="18"/>
      </w:rPr>
      <w:fldChar w:fldCharType="separate"/>
    </w:r>
    <w:r w:rsidR="00CC1396">
      <w:rPr>
        <w:rFonts w:cs="Arial"/>
        <w:noProof/>
        <w:szCs w:val="18"/>
      </w:rPr>
      <w:t>2</w:t>
    </w:r>
    <w:r w:rsidRPr="00BF6FC7">
      <w:rPr>
        <w:rFonts w:cs="Arial"/>
        <w:szCs w:val="18"/>
      </w:rPr>
      <w:fldChar w:fldCharType="end"/>
    </w:r>
    <w:r w:rsidRPr="00BF6FC7">
      <w:rPr>
        <w:rFonts w:cs="Arial"/>
        <w:szCs w:val="18"/>
      </w:rPr>
      <w:tab/>
    </w:r>
    <w:r w:rsidR="00BC669D">
      <w:rPr>
        <w:rFonts w:cs="Arial"/>
        <w:szCs w:val="18"/>
      </w:rPr>
      <w:tab/>
      <w:t xml:space="preserve">         </w:t>
    </w:r>
    <w:r w:rsidR="00BC669D" w:rsidRPr="00BC669D">
      <w:rPr>
        <w:rFonts w:cs="Arial"/>
        <w:szCs w:val="18"/>
      </w:rPr>
      <w:t>Privacybeleid Drechtsteden en uitwerking invulling Functionaris Gegevensbescherming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CellMar>
        <w:left w:w="0" w:type="dxa"/>
        <w:right w:w="0" w:type="dxa"/>
      </w:tblCellMar>
      <w:tblLook w:val="0000" w:firstRow="0" w:lastRow="0" w:firstColumn="0" w:lastColumn="0" w:noHBand="0" w:noVBand="0"/>
    </w:tblPr>
    <w:tblGrid>
      <w:gridCol w:w="5200"/>
      <w:gridCol w:w="5006"/>
    </w:tblGrid>
    <w:tr w:rsidR="00B35A07" w:rsidRPr="00827CA4">
      <w:trPr>
        <w:cantSplit/>
        <w:trHeight w:val="1975"/>
      </w:trPr>
      <w:tc>
        <w:tcPr>
          <w:tcW w:w="5200" w:type="dxa"/>
        </w:tcPr>
        <w:p w:rsidR="00B35A07" w:rsidRDefault="00AF4D85">
          <w:pPr>
            <w:pStyle w:val="Koptekst"/>
            <w:rPr>
              <w:b/>
              <w:sz w:val="24"/>
            </w:rPr>
          </w:pPr>
          <w:r w:rsidRPr="00801852">
            <w:rPr>
              <w:rFonts w:cs="Arial"/>
              <w:noProof/>
              <w:sz w:val="20"/>
              <w:szCs w:val="20"/>
            </w:rPr>
            <w:drawing>
              <wp:anchor distT="0" distB="0" distL="114300" distR="114300" simplePos="0" relativeHeight="251659264" behindDoc="0" locked="0" layoutInCell="1" allowOverlap="1" wp14:anchorId="588E72E1" wp14:editId="6BDA101B">
                <wp:simplePos x="0" y="0"/>
                <wp:positionH relativeFrom="column">
                  <wp:posOffset>0</wp:posOffset>
                </wp:positionH>
                <wp:positionV relativeFrom="paragraph">
                  <wp:posOffset>175895</wp:posOffset>
                </wp:positionV>
                <wp:extent cx="3161030" cy="831215"/>
                <wp:effectExtent l="0" t="0" r="127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1030" cy="831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6" w:type="dxa"/>
        </w:tcPr>
        <w:tbl>
          <w:tblPr>
            <w:tblStyle w:val="Tabelraster"/>
            <w:tblW w:w="0" w:type="auto"/>
            <w:tblLook w:val="01E0" w:firstRow="1" w:lastRow="1" w:firstColumn="1" w:lastColumn="1" w:noHBand="0" w:noVBand="0"/>
          </w:tblPr>
          <w:tblGrid>
            <w:gridCol w:w="4991"/>
          </w:tblGrid>
          <w:tr w:rsidR="00B35A07" w:rsidTr="00F75220">
            <w:tc>
              <w:tcPr>
                <w:tcW w:w="4991" w:type="dxa"/>
                <w:tcBorders>
                  <w:top w:val="nil"/>
                  <w:left w:val="nil"/>
                  <w:bottom w:val="nil"/>
                  <w:right w:val="nil"/>
                </w:tcBorders>
              </w:tcPr>
              <w:p w:rsidR="00B35A07" w:rsidRPr="00BF6FC7" w:rsidRDefault="00B35A07" w:rsidP="00F75220">
                <w:pPr>
                  <w:rPr>
                    <w:b/>
                  </w:rPr>
                </w:pPr>
                <w:bookmarkStart w:id="1" w:name="bmkLogo"/>
                <w:bookmarkEnd w:id="1"/>
              </w:p>
              <w:p w:rsidR="00B35A07" w:rsidRPr="00827CA4" w:rsidRDefault="00B35A07" w:rsidP="00F75220">
                <w:pPr>
                  <w:rPr>
                    <w:b/>
                    <w:highlight w:val="yellow"/>
                  </w:rPr>
                </w:pPr>
              </w:p>
            </w:tc>
          </w:tr>
          <w:tr w:rsidR="00B35A07" w:rsidRPr="00DC5579" w:rsidTr="00F75220">
            <w:tc>
              <w:tcPr>
                <w:tcW w:w="4991" w:type="dxa"/>
                <w:tcBorders>
                  <w:top w:val="nil"/>
                  <w:left w:val="nil"/>
                  <w:bottom w:val="nil"/>
                  <w:right w:val="nil"/>
                </w:tcBorders>
              </w:tcPr>
              <w:p w:rsidR="00B35A07" w:rsidRPr="008F5F03" w:rsidRDefault="00B35A07" w:rsidP="00F75220">
                <w:pPr>
                  <w:rPr>
                    <w:i/>
                  </w:rPr>
                </w:pPr>
                <w:r w:rsidRPr="00BF6FC7">
                  <w:rPr>
                    <w:b/>
                  </w:rPr>
                  <w:t>P</w:t>
                </w:r>
                <w:r>
                  <w:rPr>
                    <w:b/>
                  </w:rPr>
                  <w:t>lanning voor p</w:t>
                </w:r>
                <w:r w:rsidRPr="00BF6FC7">
                  <w:rPr>
                    <w:b/>
                  </w:rPr>
                  <w:t xml:space="preserve">rocedure: </w:t>
                </w:r>
                <w:r>
                  <w:rPr>
                    <w:b/>
                  </w:rPr>
                  <w:br/>
                </w:r>
              </w:p>
              <w:p w:rsidR="00B35A07" w:rsidRPr="00C16828" w:rsidRDefault="00C16828" w:rsidP="00F75220">
                <w:r w:rsidRPr="00C16828">
                  <w:t>PFO Middelen 6 februari</w:t>
                </w:r>
              </w:p>
              <w:p w:rsidR="00B35A07" w:rsidRPr="00BF6FC7" w:rsidRDefault="00C16828" w:rsidP="00F75220">
                <w:r w:rsidRPr="00C16828">
                  <w:t xml:space="preserve">DSB 8 februari </w:t>
                </w:r>
              </w:p>
              <w:p w:rsidR="00B35A07" w:rsidRPr="00827CA4" w:rsidRDefault="00B35A07" w:rsidP="00F75220">
                <w:pPr>
                  <w:rPr>
                    <w:b/>
                    <w:highlight w:val="yellow"/>
                    <w:lang w:val="fr-FR"/>
                  </w:rPr>
                </w:pPr>
              </w:p>
            </w:tc>
          </w:tr>
        </w:tbl>
        <w:p w:rsidR="00B35A07" w:rsidRPr="00827CA4" w:rsidRDefault="00B35A07">
          <w:pPr>
            <w:rPr>
              <w:rFonts w:ascii="Univers" w:hAnsi="Univers"/>
              <w:b/>
              <w:sz w:val="22"/>
              <w:szCs w:val="22"/>
              <w:lang w:val="fr-FR"/>
            </w:rPr>
          </w:pPr>
        </w:p>
      </w:tc>
    </w:tr>
  </w:tbl>
  <w:p w:rsidR="00B35A07" w:rsidRPr="00827CA4" w:rsidRDefault="00B35A07" w:rsidP="001A2DE4">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42E9B80"/>
    <w:lvl w:ilvl="0">
      <w:start w:val="1"/>
      <w:numFmt w:val="bullet"/>
      <w:pStyle w:val="Lijstopsomteken2"/>
      <w:lvlText w:val=""/>
      <w:lvlJc w:val="left"/>
      <w:pPr>
        <w:tabs>
          <w:tab w:val="num" w:pos="717"/>
        </w:tabs>
        <w:ind w:left="714" w:hanging="357"/>
      </w:pPr>
      <w:rPr>
        <w:rFonts w:ascii="Symbol" w:hAnsi="Symbol" w:hint="default"/>
        <w:color w:val="auto"/>
      </w:rPr>
    </w:lvl>
  </w:abstractNum>
  <w:abstractNum w:abstractNumId="1" w15:restartNumberingAfterBreak="0">
    <w:nsid w:val="FFFFFF89"/>
    <w:multiLevelType w:val="singleLevel"/>
    <w:tmpl w:val="8E6C2CAC"/>
    <w:lvl w:ilvl="0">
      <w:start w:val="1"/>
      <w:numFmt w:val="bullet"/>
      <w:pStyle w:val="Lijstopsomteken"/>
      <w:lvlText w:val=""/>
      <w:lvlJc w:val="left"/>
      <w:pPr>
        <w:tabs>
          <w:tab w:val="num" w:pos="360"/>
        </w:tabs>
        <w:ind w:left="360" w:hanging="360"/>
      </w:pPr>
      <w:rPr>
        <w:rFonts w:ascii="Symbol" w:hAnsi="Symbol" w:hint="default"/>
        <w:color w:val="auto"/>
      </w:rPr>
    </w:lvl>
  </w:abstractNum>
  <w:abstractNum w:abstractNumId="2" w15:restartNumberingAfterBreak="0">
    <w:nsid w:val="05094C67"/>
    <w:multiLevelType w:val="hybridMultilevel"/>
    <w:tmpl w:val="4F68E256"/>
    <w:lvl w:ilvl="0" w:tplc="3DA07F48">
      <w:start w:val="5"/>
      <w:numFmt w:val="bullet"/>
      <w:lvlText w:val="-"/>
      <w:lvlJc w:val="left"/>
      <w:pPr>
        <w:tabs>
          <w:tab w:val="num" w:pos="720"/>
        </w:tabs>
        <w:ind w:left="720" w:hanging="360"/>
      </w:pPr>
      <w:rPr>
        <w:rFonts w:ascii="Univers" w:eastAsia="Times New Roman" w:hAnsi="Univer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C64E0"/>
    <w:multiLevelType w:val="hybridMultilevel"/>
    <w:tmpl w:val="9A485F14"/>
    <w:lvl w:ilvl="0" w:tplc="0413000B">
      <w:start w:val="1"/>
      <w:numFmt w:val="bullet"/>
      <w:lvlText w:val=""/>
      <w:lvlJc w:val="left"/>
      <w:pPr>
        <w:tabs>
          <w:tab w:val="num" w:pos="720"/>
        </w:tabs>
        <w:ind w:left="720" w:hanging="360"/>
      </w:pPr>
      <w:rPr>
        <w:rFonts w:ascii="Wingdings" w:hAnsi="Wingdings" w:hint="default"/>
      </w:rPr>
    </w:lvl>
    <w:lvl w:ilvl="1" w:tplc="E68ACD2A">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71843"/>
    <w:multiLevelType w:val="multilevel"/>
    <w:tmpl w:val="1CF6690C"/>
    <w:lvl w:ilvl="0">
      <w:start w:val="1"/>
      <w:numFmt w:val="decimal"/>
      <w:pStyle w:val="Kop1"/>
      <w:lvlText w:val="%1"/>
      <w:lvlJc w:val="left"/>
      <w:pPr>
        <w:tabs>
          <w:tab w:val="num" w:pos="1141"/>
        </w:tabs>
        <w:ind w:left="1141" w:hanging="432"/>
      </w:pPr>
    </w:lvl>
    <w:lvl w:ilvl="1">
      <w:start w:val="1"/>
      <w:numFmt w:val="decimal"/>
      <w:pStyle w:val="Kop2"/>
      <w:lvlText w:val="%1.%2"/>
      <w:lvlJc w:val="left"/>
      <w:pPr>
        <w:tabs>
          <w:tab w:val="num" w:pos="1285"/>
        </w:tabs>
        <w:ind w:left="1285" w:hanging="576"/>
      </w:pPr>
    </w:lvl>
    <w:lvl w:ilvl="2">
      <w:start w:val="1"/>
      <w:numFmt w:val="decimal"/>
      <w:pStyle w:val="Kop3"/>
      <w:lvlText w:val="%1.%2.%3"/>
      <w:lvlJc w:val="left"/>
      <w:pPr>
        <w:tabs>
          <w:tab w:val="num" w:pos="1429"/>
        </w:tabs>
        <w:ind w:left="1429" w:hanging="720"/>
      </w:pPr>
    </w:lvl>
    <w:lvl w:ilvl="3">
      <w:start w:val="1"/>
      <w:numFmt w:val="decimal"/>
      <w:pStyle w:val="Kop4"/>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5" w15:restartNumberingAfterBreak="0">
    <w:nsid w:val="1356005D"/>
    <w:multiLevelType w:val="hybridMultilevel"/>
    <w:tmpl w:val="3B742728"/>
    <w:lvl w:ilvl="0" w:tplc="584003C6">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91B94"/>
    <w:multiLevelType w:val="hybridMultilevel"/>
    <w:tmpl w:val="645C8C2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2333B"/>
    <w:multiLevelType w:val="hybridMultilevel"/>
    <w:tmpl w:val="52504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B3067"/>
    <w:multiLevelType w:val="hybridMultilevel"/>
    <w:tmpl w:val="3370D50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85585"/>
    <w:multiLevelType w:val="hybridMultilevel"/>
    <w:tmpl w:val="600065E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877E3"/>
    <w:multiLevelType w:val="hybridMultilevel"/>
    <w:tmpl w:val="3D9036A0"/>
    <w:lvl w:ilvl="0" w:tplc="7402DEB2">
      <w:start w:val="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BE41F3"/>
    <w:multiLevelType w:val="hybridMultilevel"/>
    <w:tmpl w:val="A5C4E48C"/>
    <w:lvl w:ilvl="0" w:tplc="5FC6A3C8">
      <w:start w:val="5"/>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A513F"/>
    <w:multiLevelType w:val="hybridMultilevel"/>
    <w:tmpl w:val="032895C4"/>
    <w:lvl w:ilvl="0" w:tplc="F87EA658">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603AC"/>
    <w:multiLevelType w:val="hybridMultilevel"/>
    <w:tmpl w:val="08142C3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8E67C74"/>
    <w:multiLevelType w:val="hybridMultilevel"/>
    <w:tmpl w:val="5DD88330"/>
    <w:lvl w:ilvl="0" w:tplc="8F682DF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542BD1"/>
    <w:multiLevelType w:val="multilevel"/>
    <w:tmpl w:val="3D9036A0"/>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C472A0"/>
    <w:multiLevelType w:val="hybridMultilevel"/>
    <w:tmpl w:val="436269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FF5E86"/>
    <w:multiLevelType w:val="hybridMultilevel"/>
    <w:tmpl w:val="F19442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9377A3E"/>
    <w:multiLevelType w:val="hybridMultilevel"/>
    <w:tmpl w:val="DC08B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1"/>
  </w:num>
  <w:num w:numId="10">
    <w:abstractNumId w:val="1"/>
  </w:num>
  <w:num w:numId="11">
    <w:abstractNumId w:val="0"/>
  </w:num>
  <w:num w:numId="12">
    <w:abstractNumId w:val="0"/>
  </w:num>
  <w:num w:numId="13">
    <w:abstractNumId w:val="10"/>
  </w:num>
  <w:num w:numId="14">
    <w:abstractNumId w:val="15"/>
  </w:num>
  <w:num w:numId="15">
    <w:abstractNumId w:val="8"/>
  </w:num>
  <w:num w:numId="16">
    <w:abstractNumId w:val="16"/>
  </w:num>
  <w:num w:numId="17">
    <w:abstractNumId w:val="2"/>
  </w:num>
  <w:num w:numId="18">
    <w:abstractNumId w:val="11"/>
  </w:num>
  <w:num w:numId="19">
    <w:abstractNumId w:val="3"/>
  </w:num>
  <w:num w:numId="20">
    <w:abstractNumId w:val="9"/>
  </w:num>
  <w:num w:numId="21">
    <w:abstractNumId w:val="5"/>
  </w:num>
  <w:num w:numId="22">
    <w:abstractNumId w:val="6"/>
  </w:num>
  <w:num w:numId="23">
    <w:abstractNumId w:val="12"/>
  </w:num>
  <w:num w:numId="24">
    <w:abstractNumId w:val="7"/>
  </w:num>
  <w:num w:numId="25">
    <w:abstractNumId w:val="17"/>
  </w:num>
  <w:num w:numId="26">
    <w:abstractNumId w:val="13"/>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A7"/>
    <w:rsid w:val="000002F3"/>
    <w:rsid w:val="000037D5"/>
    <w:rsid w:val="0002743D"/>
    <w:rsid w:val="000335E5"/>
    <w:rsid w:val="0003382F"/>
    <w:rsid w:val="0003621A"/>
    <w:rsid w:val="000410C3"/>
    <w:rsid w:val="00041C67"/>
    <w:rsid w:val="000420C4"/>
    <w:rsid w:val="000817A4"/>
    <w:rsid w:val="00084B6A"/>
    <w:rsid w:val="00092BD2"/>
    <w:rsid w:val="00095D97"/>
    <w:rsid w:val="000A2610"/>
    <w:rsid w:val="000B20C1"/>
    <w:rsid w:val="000C431C"/>
    <w:rsid w:val="000D2A2F"/>
    <w:rsid w:val="000D7882"/>
    <w:rsid w:val="000E378C"/>
    <w:rsid w:val="000E4935"/>
    <w:rsid w:val="000F386A"/>
    <w:rsid w:val="000F3B39"/>
    <w:rsid w:val="00126C26"/>
    <w:rsid w:val="00132CE9"/>
    <w:rsid w:val="00135EDD"/>
    <w:rsid w:val="00144724"/>
    <w:rsid w:val="00146FA7"/>
    <w:rsid w:val="00147D42"/>
    <w:rsid w:val="00152323"/>
    <w:rsid w:val="001529DB"/>
    <w:rsid w:val="001576A7"/>
    <w:rsid w:val="0016790E"/>
    <w:rsid w:val="00171D3B"/>
    <w:rsid w:val="0018302A"/>
    <w:rsid w:val="00191005"/>
    <w:rsid w:val="00195F61"/>
    <w:rsid w:val="001A2DE4"/>
    <w:rsid w:val="001B5EE9"/>
    <w:rsid w:val="001D0242"/>
    <w:rsid w:val="001D0BC7"/>
    <w:rsid w:val="001D5CBC"/>
    <w:rsid w:val="001D63FF"/>
    <w:rsid w:val="001E009C"/>
    <w:rsid w:val="001E6A1F"/>
    <w:rsid w:val="001F675C"/>
    <w:rsid w:val="00206544"/>
    <w:rsid w:val="002074F5"/>
    <w:rsid w:val="00211D63"/>
    <w:rsid w:val="00212DCB"/>
    <w:rsid w:val="00226E1E"/>
    <w:rsid w:val="002301DA"/>
    <w:rsid w:val="002365D1"/>
    <w:rsid w:val="00240317"/>
    <w:rsid w:val="0024695C"/>
    <w:rsid w:val="0025015F"/>
    <w:rsid w:val="00252BAB"/>
    <w:rsid w:val="00262CAA"/>
    <w:rsid w:val="00272590"/>
    <w:rsid w:val="002A33E2"/>
    <w:rsid w:val="002A576E"/>
    <w:rsid w:val="002C2731"/>
    <w:rsid w:val="002C288E"/>
    <w:rsid w:val="002D3F2A"/>
    <w:rsid w:val="002D4DF3"/>
    <w:rsid w:val="002E1F61"/>
    <w:rsid w:val="002E77AB"/>
    <w:rsid w:val="003004E2"/>
    <w:rsid w:val="00300BD1"/>
    <w:rsid w:val="00311AEB"/>
    <w:rsid w:val="00311D6D"/>
    <w:rsid w:val="00321402"/>
    <w:rsid w:val="003326CB"/>
    <w:rsid w:val="003508ED"/>
    <w:rsid w:val="0037636C"/>
    <w:rsid w:val="003A0DC0"/>
    <w:rsid w:val="003B0DCE"/>
    <w:rsid w:val="003C1BEE"/>
    <w:rsid w:val="003C4A36"/>
    <w:rsid w:val="003C503E"/>
    <w:rsid w:val="003E0987"/>
    <w:rsid w:val="004074EC"/>
    <w:rsid w:val="00425CA0"/>
    <w:rsid w:val="004342BF"/>
    <w:rsid w:val="0043617E"/>
    <w:rsid w:val="00463AF1"/>
    <w:rsid w:val="00491703"/>
    <w:rsid w:val="00492F61"/>
    <w:rsid w:val="004B4B11"/>
    <w:rsid w:val="004C1B09"/>
    <w:rsid w:val="004C7837"/>
    <w:rsid w:val="004D6FE3"/>
    <w:rsid w:val="004D7227"/>
    <w:rsid w:val="005142FA"/>
    <w:rsid w:val="00527A88"/>
    <w:rsid w:val="00544D6F"/>
    <w:rsid w:val="0055488F"/>
    <w:rsid w:val="0056029B"/>
    <w:rsid w:val="00566BD0"/>
    <w:rsid w:val="00571972"/>
    <w:rsid w:val="005931A5"/>
    <w:rsid w:val="005A5F1C"/>
    <w:rsid w:val="005B0C1A"/>
    <w:rsid w:val="005B507C"/>
    <w:rsid w:val="005C4FC0"/>
    <w:rsid w:val="005C5DED"/>
    <w:rsid w:val="005E1707"/>
    <w:rsid w:val="00624743"/>
    <w:rsid w:val="00637FCF"/>
    <w:rsid w:val="00642463"/>
    <w:rsid w:val="00647CD0"/>
    <w:rsid w:val="00655504"/>
    <w:rsid w:val="0066268B"/>
    <w:rsid w:val="00677BFB"/>
    <w:rsid w:val="006835D6"/>
    <w:rsid w:val="0068601C"/>
    <w:rsid w:val="0068615C"/>
    <w:rsid w:val="00693180"/>
    <w:rsid w:val="00696C63"/>
    <w:rsid w:val="006A66FF"/>
    <w:rsid w:val="006B04F1"/>
    <w:rsid w:val="006B227E"/>
    <w:rsid w:val="006C5A59"/>
    <w:rsid w:val="006D02FF"/>
    <w:rsid w:val="006D446D"/>
    <w:rsid w:val="006E5A7D"/>
    <w:rsid w:val="006E7134"/>
    <w:rsid w:val="0070456C"/>
    <w:rsid w:val="00736FA6"/>
    <w:rsid w:val="00744556"/>
    <w:rsid w:val="00753C51"/>
    <w:rsid w:val="00765210"/>
    <w:rsid w:val="00792DF0"/>
    <w:rsid w:val="00793F73"/>
    <w:rsid w:val="007B299E"/>
    <w:rsid w:val="007E6B8C"/>
    <w:rsid w:val="007F1D19"/>
    <w:rsid w:val="00801852"/>
    <w:rsid w:val="00813816"/>
    <w:rsid w:val="00816BFB"/>
    <w:rsid w:val="00824BFB"/>
    <w:rsid w:val="00826204"/>
    <w:rsid w:val="00827CA4"/>
    <w:rsid w:val="008433BB"/>
    <w:rsid w:val="008463EB"/>
    <w:rsid w:val="00846BD3"/>
    <w:rsid w:val="00850A06"/>
    <w:rsid w:val="0085215D"/>
    <w:rsid w:val="0086063D"/>
    <w:rsid w:val="00865356"/>
    <w:rsid w:val="008820AB"/>
    <w:rsid w:val="008878AD"/>
    <w:rsid w:val="00887E02"/>
    <w:rsid w:val="008905F1"/>
    <w:rsid w:val="00891687"/>
    <w:rsid w:val="008A23AD"/>
    <w:rsid w:val="008A74F7"/>
    <w:rsid w:val="008D482F"/>
    <w:rsid w:val="008D49F4"/>
    <w:rsid w:val="008D4CCC"/>
    <w:rsid w:val="008E4BD6"/>
    <w:rsid w:val="008E4F91"/>
    <w:rsid w:val="008F5F03"/>
    <w:rsid w:val="00910A5C"/>
    <w:rsid w:val="00912689"/>
    <w:rsid w:val="00916146"/>
    <w:rsid w:val="009248AD"/>
    <w:rsid w:val="00947C3D"/>
    <w:rsid w:val="00955BB5"/>
    <w:rsid w:val="009573DF"/>
    <w:rsid w:val="00963BAA"/>
    <w:rsid w:val="009A41FB"/>
    <w:rsid w:val="009A5201"/>
    <w:rsid w:val="009C5D19"/>
    <w:rsid w:val="009C71B3"/>
    <w:rsid w:val="009E1E74"/>
    <w:rsid w:val="009F0F40"/>
    <w:rsid w:val="00A02520"/>
    <w:rsid w:val="00A16FED"/>
    <w:rsid w:val="00A20EA7"/>
    <w:rsid w:val="00A3788A"/>
    <w:rsid w:val="00A67D2C"/>
    <w:rsid w:val="00A871A1"/>
    <w:rsid w:val="00A90B22"/>
    <w:rsid w:val="00A9460E"/>
    <w:rsid w:val="00AA2B36"/>
    <w:rsid w:val="00AA7F5E"/>
    <w:rsid w:val="00AB184C"/>
    <w:rsid w:val="00AB4194"/>
    <w:rsid w:val="00AC2A15"/>
    <w:rsid w:val="00AD2B98"/>
    <w:rsid w:val="00AE2959"/>
    <w:rsid w:val="00AE3E8A"/>
    <w:rsid w:val="00AE4132"/>
    <w:rsid w:val="00AF4D85"/>
    <w:rsid w:val="00B11D8C"/>
    <w:rsid w:val="00B11E6F"/>
    <w:rsid w:val="00B27222"/>
    <w:rsid w:val="00B30C94"/>
    <w:rsid w:val="00B35A07"/>
    <w:rsid w:val="00B8379F"/>
    <w:rsid w:val="00B96B0B"/>
    <w:rsid w:val="00BB17AD"/>
    <w:rsid w:val="00BB6EEF"/>
    <w:rsid w:val="00BC669D"/>
    <w:rsid w:val="00BC7BB5"/>
    <w:rsid w:val="00BD452B"/>
    <w:rsid w:val="00BE7F39"/>
    <w:rsid w:val="00BF6FC7"/>
    <w:rsid w:val="00C06299"/>
    <w:rsid w:val="00C16828"/>
    <w:rsid w:val="00C213A4"/>
    <w:rsid w:val="00C63656"/>
    <w:rsid w:val="00C73011"/>
    <w:rsid w:val="00C73205"/>
    <w:rsid w:val="00C748DA"/>
    <w:rsid w:val="00C97D4A"/>
    <w:rsid w:val="00CA1590"/>
    <w:rsid w:val="00CA3A48"/>
    <w:rsid w:val="00CC1396"/>
    <w:rsid w:val="00CD36D5"/>
    <w:rsid w:val="00CD380F"/>
    <w:rsid w:val="00CD6237"/>
    <w:rsid w:val="00CD673A"/>
    <w:rsid w:val="00CF4AFE"/>
    <w:rsid w:val="00D1026B"/>
    <w:rsid w:val="00D47359"/>
    <w:rsid w:val="00D50CA5"/>
    <w:rsid w:val="00D54D28"/>
    <w:rsid w:val="00D67DCF"/>
    <w:rsid w:val="00D82D7E"/>
    <w:rsid w:val="00D84960"/>
    <w:rsid w:val="00D85200"/>
    <w:rsid w:val="00D97DB3"/>
    <w:rsid w:val="00DA3E15"/>
    <w:rsid w:val="00DB2AB5"/>
    <w:rsid w:val="00DC45DF"/>
    <w:rsid w:val="00DE058F"/>
    <w:rsid w:val="00DE286E"/>
    <w:rsid w:val="00E0690F"/>
    <w:rsid w:val="00E10F7D"/>
    <w:rsid w:val="00E11034"/>
    <w:rsid w:val="00E15310"/>
    <w:rsid w:val="00E27875"/>
    <w:rsid w:val="00E33638"/>
    <w:rsid w:val="00E35772"/>
    <w:rsid w:val="00E36C37"/>
    <w:rsid w:val="00E41CE7"/>
    <w:rsid w:val="00E63863"/>
    <w:rsid w:val="00E8030A"/>
    <w:rsid w:val="00E8412A"/>
    <w:rsid w:val="00E861E2"/>
    <w:rsid w:val="00E90E36"/>
    <w:rsid w:val="00EA3EF8"/>
    <w:rsid w:val="00EB0961"/>
    <w:rsid w:val="00EB1A8D"/>
    <w:rsid w:val="00EB3599"/>
    <w:rsid w:val="00EB7FA0"/>
    <w:rsid w:val="00ED2202"/>
    <w:rsid w:val="00ED2A3F"/>
    <w:rsid w:val="00EE0A45"/>
    <w:rsid w:val="00EF37DE"/>
    <w:rsid w:val="00EF436E"/>
    <w:rsid w:val="00F34643"/>
    <w:rsid w:val="00F418FA"/>
    <w:rsid w:val="00F5309E"/>
    <w:rsid w:val="00F7191B"/>
    <w:rsid w:val="00F75220"/>
    <w:rsid w:val="00F82455"/>
    <w:rsid w:val="00F834F3"/>
    <w:rsid w:val="00F86D94"/>
    <w:rsid w:val="00F93C3F"/>
    <w:rsid w:val="00FB1836"/>
    <w:rsid w:val="00FB5590"/>
    <w:rsid w:val="00FE0AFD"/>
    <w:rsid w:val="00FE3D5D"/>
    <w:rsid w:val="00FF03E8"/>
    <w:rsid w:val="00FF2D66"/>
    <w:rsid w:val="00FF4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FB241F5-59E5-4D64-B63A-EFA9F98E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Cs w:val="24"/>
    </w:rPr>
  </w:style>
  <w:style w:type="paragraph" w:styleId="Kop1">
    <w:name w:val="heading 1"/>
    <w:basedOn w:val="Standaard"/>
    <w:next w:val="Standaard"/>
    <w:qFormat/>
    <w:pPr>
      <w:keepNext/>
      <w:keepLines/>
      <w:numPr>
        <w:numId w:val="5"/>
      </w:numPr>
      <w:tabs>
        <w:tab w:val="clear" w:pos="1141"/>
      </w:tabs>
      <w:spacing w:before="240" w:after="60"/>
      <w:ind w:left="709" w:hanging="709"/>
      <w:outlineLvl w:val="0"/>
    </w:pPr>
    <w:rPr>
      <w:rFonts w:cs="Arial"/>
      <w:b/>
      <w:bCs/>
      <w:kern w:val="32"/>
      <w:szCs w:val="32"/>
    </w:rPr>
  </w:style>
  <w:style w:type="paragraph" w:styleId="Kop2">
    <w:name w:val="heading 2"/>
    <w:basedOn w:val="Kop1"/>
    <w:next w:val="Standaard"/>
    <w:qFormat/>
    <w:pPr>
      <w:numPr>
        <w:ilvl w:val="1"/>
        <w:numId w:val="6"/>
      </w:numPr>
      <w:tabs>
        <w:tab w:val="clear" w:pos="1285"/>
      </w:tabs>
      <w:ind w:left="709" w:hanging="709"/>
      <w:outlineLvl w:val="1"/>
    </w:pPr>
    <w:rPr>
      <w:bCs w:val="0"/>
      <w:iCs/>
      <w:szCs w:val="28"/>
    </w:rPr>
  </w:style>
  <w:style w:type="paragraph" w:styleId="Kop3">
    <w:name w:val="heading 3"/>
    <w:basedOn w:val="Kop2"/>
    <w:next w:val="Standaard"/>
    <w:qFormat/>
    <w:pPr>
      <w:numPr>
        <w:ilvl w:val="2"/>
        <w:numId w:val="7"/>
      </w:numPr>
      <w:tabs>
        <w:tab w:val="clear" w:pos="1429"/>
      </w:tabs>
      <w:ind w:left="709" w:hanging="709"/>
      <w:outlineLvl w:val="2"/>
    </w:pPr>
    <w:rPr>
      <w:bCs/>
      <w:szCs w:val="26"/>
    </w:rPr>
  </w:style>
  <w:style w:type="paragraph" w:styleId="Kop4">
    <w:name w:val="heading 4"/>
    <w:basedOn w:val="Kop3"/>
    <w:next w:val="Standaard"/>
    <w:qFormat/>
    <w:pPr>
      <w:numPr>
        <w:ilvl w:val="3"/>
        <w:numId w:val="8"/>
      </w:numPr>
      <w:tabs>
        <w:tab w:val="clear" w:pos="1573"/>
      </w:tabs>
      <w:ind w:left="709" w:hanging="709"/>
      <w:outlineLvl w:val="3"/>
    </w:pPr>
    <w:rPr>
      <w:bCs w:val="0"/>
      <w:szCs w:val="28"/>
    </w:rPr>
  </w:style>
  <w:style w:type="paragraph" w:styleId="Kop5">
    <w:name w:val="heading 5"/>
    <w:basedOn w:val="Standaard"/>
    <w:next w:val="Standaard"/>
    <w:qFormat/>
    <w:pPr>
      <w:spacing w:before="240" w:after="60"/>
      <w:outlineLvl w:val="4"/>
    </w:pPr>
    <w:rPr>
      <w:b/>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customStyle="1" w:styleId="Kopjes">
    <w:name w:val="Kopjes"/>
    <w:basedOn w:val="Standaard"/>
    <w:rPr>
      <w:b/>
      <w:bCs/>
      <w:sz w:val="18"/>
    </w:rPr>
  </w:style>
  <w:style w:type="character" w:styleId="Paginanummer">
    <w:name w:val="page number"/>
    <w:basedOn w:val="Standaardalinea-lettertype"/>
  </w:style>
  <w:style w:type="paragraph" w:styleId="Lijstopsomteken">
    <w:name w:val="List Bullet"/>
    <w:basedOn w:val="Standaard"/>
    <w:autoRedefine/>
    <w:pPr>
      <w:numPr>
        <w:numId w:val="10"/>
      </w:numPr>
    </w:pPr>
  </w:style>
  <w:style w:type="paragraph" w:styleId="Lijstopsomteken2">
    <w:name w:val="List Bullet 2"/>
    <w:basedOn w:val="Standaard"/>
    <w:autoRedefine/>
    <w:pPr>
      <w:numPr>
        <w:numId w:val="12"/>
      </w:numPr>
    </w:pPr>
  </w:style>
  <w:style w:type="character" w:styleId="GevolgdeHyperlink">
    <w:name w:val="FollowedHyperlink"/>
    <w:rPr>
      <w:color w:val="800080"/>
      <w:u w:val="single"/>
    </w:rPr>
  </w:style>
  <w:style w:type="paragraph" w:customStyle="1" w:styleId="Type">
    <w:name w:val="Type"/>
    <w:basedOn w:val="Standaard"/>
    <w:pPr>
      <w:spacing w:after="240"/>
    </w:pPr>
    <w:rPr>
      <w:b/>
      <w:bCs/>
      <w:spacing w:val="20"/>
      <w:sz w:val="32"/>
    </w:rPr>
  </w:style>
  <w:style w:type="paragraph" w:styleId="Koptekst">
    <w:name w:val="header"/>
    <w:basedOn w:val="Standaard"/>
    <w:rPr>
      <w:sz w:val="18"/>
    </w:rPr>
  </w:style>
  <w:style w:type="paragraph" w:styleId="Voettekst">
    <w:name w:val="footer"/>
    <w:basedOn w:val="Standaard"/>
    <w:pPr>
      <w:tabs>
        <w:tab w:val="left" w:pos="2835"/>
        <w:tab w:val="right" w:pos="9072"/>
      </w:tabs>
      <w:jc w:val="right"/>
    </w:pPr>
    <w:rPr>
      <w:color w:val="C0C0C0"/>
      <w:sz w:val="14"/>
    </w:rPr>
  </w:style>
  <w:style w:type="paragraph" w:customStyle="1" w:styleId="kopjesrechts">
    <w:name w:val="kopjesrechts"/>
    <w:basedOn w:val="Standaard"/>
    <w:rPr>
      <w:b/>
      <w:bCs/>
      <w:sz w:val="16"/>
    </w:rPr>
  </w:style>
  <w:style w:type="paragraph" w:customStyle="1" w:styleId="Voettekst1">
    <w:name w:val="Voettekst1"/>
    <w:basedOn w:val="Voettekst"/>
    <w:rPr>
      <w:sz w:val="2"/>
    </w:rPr>
  </w:style>
  <w:style w:type="paragraph" w:customStyle="1" w:styleId="Type0">
    <w:name w:val="Type0"/>
    <w:basedOn w:val="Type"/>
    <w:pPr>
      <w:spacing w:after="0"/>
    </w:pPr>
  </w:style>
  <w:style w:type="paragraph" w:customStyle="1" w:styleId="Standaard12">
    <w:name w:val="Standaard12"/>
    <w:basedOn w:val="Standaard"/>
    <w:pPr>
      <w:tabs>
        <w:tab w:val="left" w:pos="7630"/>
      </w:tabs>
    </w:pPr>
    <w:rPr>
      <w:sz w:val="24"/>
      <w:u w:val="single"/>
    </w:rPr>
  </w:style>
  <w:style w:type="paragraph" w:styleId="Ballontekst">
    <w:name w:val="Balloon Text"/>
    <w:basedOn w:val="Standaard"/>
    <w:semiHidden/>
    <w:rPr>
      <w:rFonts w:ascii="Tahoma" w:hAnsi="Tahoma" w:cs="Tahoma"/>
      <w:sz w:val="16"/>
      <w:szCs w:val="16"/>
    </w:rPr>
  </w:style>
  <w:style w:type="paragraph" w:customStyle="1" w:styleId="Kopje">
    <w:name w:val="Kopje"/>
    <w:basedOn w:val="Standaard"/>
    <w:pPr>
      <w:keepNext/>
    </w:pPr>
    <w:rPr>
      <w:b/>
      <w:bCs/>
    </w:rPr>
  </w:style>
  <w:style w:type="table" w:styleId="Tabelraster">
    <w:name w:val="Table Grid"/>
    <w:basedOn w:val="Standaardtabel"/>
    <w:rsid w:val="00E3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ALGEMEEN\TEMPLATE\DRECHT\Drechtsteden-vergadernotit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34E0-99A2-495E-903E-DF63AB93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Drechtsteden-vergadernotitie</Template>
  <TotalTime>0</TotalTime>
  <Pages>5</Pages>
  <Words>2521</Words>
  <Characters>14896</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Bestuurlijke Commissie Vrije Tijd</dc:subject>
  <dc:creator>M. Becker</dc:creator>
  <cp:keywords/>
  <cp:lastModifiedBy>Paauwe, I</cp:lastModifiedBy>
  <cp:revision>2</cp:revision>
  <cp:lastPrinted>2012-11-02T11:57:00Z</cp:lastPrinted>
  <dcterms:created xsi:type="dcterms:W3CDTF">2018-04-16T11:49:00Z</dcterms:created>
  <dcterms:modified xsi:type="dcterms:W3CDTF">2018-04-16T11:49:00Z</dcterms:modified>
  <cp:category>Vergadernotite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gBedrijf">
    <vt:lpwstr> </vt:lpwstr>
  </property>
  <property fmtid="{D5CDD505-2E9C-101B-9397-08002B2CF9AE}" pid="3" name="dlgAfdeling">
    <vt:lpwstr> </vt:lpwstr>
  </property>
  <property fmtid="{D5CDD505-2E9C-101B-9397-08002B2CF9AE}" pid="4" name="dlgGeslacht">
    <vt:lpwstr> </vt:lpwstr>
  </property>
  <property fmtid="{D5CDD505-2E9C-101B-9397-08002B2CF9AE}" pid="5" name="dlgTitel">
    <vt:lpwstr> </vt:lpwstr>
  </property>
  <property fmtid="{D5CDD505-2E9C-101B-9397-08002B2CF9AE}" pid="6" name="dlgVoorletters">
    <vt:lpwstr> </vt:lpwstr>
  </property>
  <property fmtid="{D5CDD505-2E9C-101B-9397-08002B2CF9AE}" pid="7" name="dlgAchternaam">
    <vt:lpwstr> </vt:lpwstr>
  </property>
  <property fmtid="{D5CDD505-2E9C-101B-9397-08002B2CF9AE}" pid="8" name="dlgVoornaam">
    <vt:lpwstr> </vt:lpwstr>
  </property>
  <property fmtid="{D5CDD505-2E9C-101B-9397-08002B2CF9AE}" pid="9" name="dlgMeisjesnaam">
    <vt:lpwstr> </vt:lpwstr>
  </property>
  <property fmtid="{D5CDD505-2E9C-101B-9397-08002B2CF9AE}" pid="10" name="dlgTitelsachter">
    <vt:lpwstr> </vt:lpwstr>
  </property>
  <property fmtid="{D5CDD505-2E9C-101B-9397-08002B2CF9AE}" pid="11" name="dlgPostcode">
    <vt:lpwstr> </vt:lpwstr>
  </property>
  <property fmtid="{D5CDD505-2E9C-101B-9397-08002B2CF9AE}" pid="12" name="dlgPlaats">
    <vt:lpwstr> </vt:lpwstr>
  </property>
  <property fmtid="{D5CDD505-2E9C-101B-9397-08002B2CF9AE}" pid="13" name="dlgStraat">
    <vt:lpwstr> </vt:lpwstr>
  </property>
  <property fmtid="{D5CDD505-2E9C-101B-9397-08002B2CF9AE}" pid="14" name="dlgOnskenmerk">
    <vt:lpwstr>7</vt:lpwstr>
  </property>
  <property fmtid="{D5CDD505-2E9C-101B-9397-08002B2CF9AE}" pid="15" name="dlgKeuze1">
    <vt:lpwstr>datum</vt:lpwstr>
  </property>
  <property fmtid="{D5CDD505-2E9C-101B-9397-08002B2CF9AE}" pid="16" name="dlgKeuze2">
    <vt:lpwstr>steller</vt:lpwstr>
  </property>
  <property fmtid="{D5CDD505-2E9C-101B-9397-08002B2CF9AE}" pid="17" name="dlgKeuze3">
    <vt:lpwstr>agendapunt</vt:lpwstr>
  </property>
  <property fmtid="{D5CDD505-2E9C-101B-9397-08002B2CF9AE}" pid="18" name="dlgReskeuze1">
    <vt:lpwstr>23-4-04</vt:lpwstr>
  </property>
  <property fmtid="{D5CDD505-2E9C-101B-9397-08002B2CF9AE}" pid="19" name="dlgReskeuze2">
    <vt:lpwstr>B.M. Becker</vt:lpwstr>
  </property>
  <property fmtid="{D5CDD505-2E9C-101B-9397-08002B2CF9AE}" pid="20" name="dlgReskeuze3">
    <vt:lpwstr>7</vt:lpwstr>
  </property>
  <property fmtid="{D5CDD505-2E9C-101B-9397-08002B2CF9AE}" pid="21" name="dlgDatum">
    <vt:lpwstr>23-4-04</vt:lpwstr>
  </property>
  <property fmtid="{D5CDD505-2E9C-101B-9397-08002B2CF9AE}" pid="22" name="dlgOnderwerp">
    <vt:lpwstr>Bestuurlijke Commissie Vrije Tijd</vt:lpwstr>
  </property>
  <property fmtid="{D5CDD505-2E9C-101B-9397-08002B2CF9AE}" pid="23" name="dlgAfzender">
    <vt:lpwstr>B.M. Becker</vt:lpwstr>
  </property>
  <property fmtid="{D5CDD505-2E9C-101B-9397-08002B2CF9AE}" pid="24" name="dlgFunctie">
    <vt:lpwstr/>
  </property>
  <property fmtid="{D5CDD505-2E9C-101B-9397-08002B2CF9AE}" pid="25" name="dlgKopieaan">
    <vt:lpwstr> </vt:lpwstr>
  </property>
  <property fmtid="{D5CDD505-2E9C-101B-9397-08002B2CF9AE}" pid="26" name="dlgAfsluiting">
    <vt:lpwstr> </vt:lpwstr>
  </property>
  <property fmtid="{D5CDD505-2E9C-101B-9397-08002B2CF9AE}" pid="27" name="dlgReskeuze4">
    <vt:lpwstr>28 april 2004</vt:lpwstr>
  </property>
  <property fmtid="{D5CDD505-2E9C-101B-9397-08002B2CF9AE}" pid="28" name="dlgKeuze4">
    <vt:lpwstr>vergaderdatum</vt:lpwstr>
  </property>
  <property fmtid="{D5CDD505-2E9C-101B-9397-08002B2CF9AE}" pid="29" name="dlgNamensvoorkeur">
    <vt:lpwstr>bcm.ini</vt:lpwstr>
  </property>
  <property fmtid="{D5CDD505-2E9C-101B-9397-08002B2CF9AE}" pid="30" name="dlgOpslagpad">
    <vt:lpwstr>f:\data\drecht</vt:lpwstr>
  </property>
  <property fmtid="{D5CDD505-2E9C-101B-9397-08002B2CF9AE}" pid="31" name="dlgReskeuze5">
    <vt:lpwstr>684</vt:lpwstr>
  </property>
  <property fmtid="{D5CDD505-2E9C-101B-9397-08002B2CF9AE}" pid="32" name="dlgReskeuze6">
    <vt:lpwstr>078-6480640</vt:lpwstr>
  </property>
  <property fmtid="{D5CDD505-2E9C-101B-9397-08002B2CF9AE}" pid="33" name="dlgReskeuze7">
    <vt:lpwstr>mbecker@regiozhz.nl</vt:lpwstr>
  </property>
  <property fmtid="{D5CDD505-2E9C-101B-9397-08002B2CF9AE}" pid="34" name="dlgReskeuze8">
    <vt:lpwstr>Bestuurlijke Commissie Vrije Tijd</vt:lpwstr>
  </property>
  <property fmtid="{D5CDD505-2E9C-101B-9397-08002B2CF9AE}" pid="35" name="dlgReskeuze9">
    <vt:lpwstr>7</vt:lpwstr>
  </property>
  <property fmtid="{D5CDD505-2E9C-101B-9397-08002B2CF9AE}" pid="36" name="dlgKeuze5">
    <vt:lpwstr>doorkiesnummer</vt:lpwstr>
  </property>
  <property fmtid="{D5CDD505-2E9C-101B-9397-08002B2CF9AE}" pid="37" name="dlgKeuze6">
    <vt:lpwstr> </vt:lpwstr>
  </property>
  <property fmtid="{D5CDD505-2E9C-101B-9397-08002B2CF9AE}" pid="38" name="dlgKeuze7">
    <vt:lpwstr>e-mail</vt:lpwstr>
  </property>
  <property fmtid="{D5CDD505-2E9C-101B-9397-08002B2CF9AE}" pid="39" name="dlgKeuze8">
    <vt:lpwstr>naam overlegorgaan</vt:lpwstr>
  </property>
  <property fmtid="{D5CDD505-2E9C-101B-9397-08002B2CF9AE}" pid="40" name="dlgKeuze9">
    <vt:lpwstr>bijlage</vt:lpwstr>
  </property>
</Properties>
</file>