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708E" w:rsidRPr="00DE708E" w:rsidRDefault="00DE708E">
      <w:pPr>
        <w:pStyle w:val="Lijstalinea"/>
        <w:ind w:left="360"/>
        <w:rPr>
          <w:iCs/>
          <w:u w:val="single"/>
        </w:rPr>
      </w:pPr>
      <w:r w:rsidRPr="00DE708E">
        <w:rPr>
          <w:iCs/>
          <w:u w:val="single"/>
        </w:rPr>
        <w:t>INTRODUCTIE</w:t>
      </w:r>
    </w:p>
    <w:p w:rsidR="0056649D" w:rsidRDefault="003F7B2B">
      <w:pPr>
        <w:pStyle w:val="Lijstalinea"/>
        <w:ind w:left="360"/>
        <w:rPr>
          <w:i/>
          <w:iCs/>
        </w:rPr>
      </w:pPr>
      <w:r>
        <w:rPr>
          <w:i/>
          <w:iCs/>
        </w:rPr>
        <w:t>Geachte leden van de raad; woordvoerders Jeugdzorg</w:t>
      </w:r>
    </w:p>
    <w:p w:rsidR="0056649D" w:rsidRDefault="003F7B2B">
      <w:pPr>
        <w:pStyle w:val="Lijstalinea"/>
        <w:ind w:left="360"/>
        <w:rPr>
          <w:i/>
          <w:iCs/>
        </w:rPr>
      </w:pPr>
      <w:r>
        <w:rPr>
          <w:i/>
          <w:iCs/>
        </w:rPr>
        <w:t xml:space="preserve">In of na de zomervakantie heeft u de eerste Bestuursrapportage 2018 van de SOJ ontvangen. Uit deze rapportage blijkt dat er een geraamd tekort is van € 4,7 miljoen. Het bestuur van de DG&amp;J is voornemens dit tekort te dekken met een bijdrage van de zeventien deelnemende gemeenten en vraagt de gemeenteraden om hier een zienswijze op te geven. </w:t>
      </w:r>
    </w:p>
    <w:p w:rsidR="0056649D" w:rsidRDefault="003F7B2B">
      <w:pPr>
        <w:pStyle w:val="Lijstalinea"/>
        <w:ind w:left="360"/>
        <w:rPr>
          <w:i/>
          <w:iCs/>
        </w:rPr>
      </w:pPr>
      <w:r>
        <w:rPr>
          <w:i/>
          <w:iCs/>
        </w:rPr>
        <w:t xml:space="preserve">Afgelopen jaar heeft een jeugdhulpwerkgroep van samenwerkende raadsleden uit de regio Zuid-Holland Zuid diverse bouwstenen geschreven voor de 17 raden, onder meer voor het Meerjarenperspectief (MJP). Nu heeft de werkgroep besloten de raden opnieuw te benaderen </w:t>
      </w:r>
      <w:bookmarkStart w:id="0" w:name="_GoBack"/>
      <w:r>
        <w:rPr>
          <w:i/>
          <w:iCs/>
        </w:rPr>
        <w:t xml:space="preserve">met een aantal bouwstenen ('aandachtspunten') die u behulpzaam kunnen zijn bij het formuleren </w:t>
      </w:r>
      <w:bookmarkEnd w:id="0"/>
      <w:r>
        <w:rPr>
          <w:i/>
          <w:iCs/>
        </w:rPr>
        <w:t xml:space="preserve">van uw zienswijze als lokale Raad. </w:t>
      </w:r>
      <w:r w:rsidR="00DE708E">
        <w:rPr>
          <w:i/>
          <w:iCs/>
        </w:rPr>
        <w:t xml:space="preserve">De bouwstenen zou u als raad kunnen toevoegen aan de zienswijze die u ontvangt van uw college. </w:t>
      </w:r>
      <w:r>
        <w:rPr>
          <w:i/>
          <w:iCs/>
        </w:rPr>
        <w:t>De bouwstenen zijn in lijn met de zienswijze op het MJP destijds.</w:t>
      </w:r>
    </w:p>
    <w:p w:rsidR="0056649D" w:rsidRDefault="003F7B2B">
      <w:pPr>
        <w:pStyle w:val="Lijstalinea"/>
        <w:ind w:left="360"/>
        <w:rPr>
          <w:i/>
          <w:iCs/>
        </w:rPr>
      </w:pPr>
      <w:r>
        <w:rPr>
          <w:i/>
          <w:iCs/>
        </w:rPr>
        <w:t>De regionale raadswerkgroep jeugdhulp ZHZ:</w:t>
      </w:r>
    </w:p>
    <w:p w:rsidR="0056649D" w:rsidRDefault="003F7B2B">
      <w:pPr>
        <w:pStyle w:val="Lijstalinea"/>
        <w:ind w:left="360"/>
        <w:rPr>
          <w:i/>
          <w:iCs/>
          <w:sz w:val="20"/>
          <w:szCs w:val="20"/>
        </w:rPr>
      </w:pPr>
      <w:r>
        <w:rPr>
          <w:i/>
          <w:iCs/>
          <w:sz w:val="20"/>
          <w:szCs w:val="20"/>
        </w:rPr>
        <w:t>Astrid Butter (GroenLinks, Strijen), Johan van de Minkelis (ChristenUnie, Giessenlanden), Hans van Mourik (Stadsbelang Gorinchem, Gorinchem), Loudy Nijhof (Beter voor Dordt, Dordrecht), Jan Oosterkamp (Strijens Belang, Strijen), Paulien Rijsdijk (Strijens Belang, Strijen), Esther Renes (Fractie Renes, Giessenlanden), Mirjam Slobbe-Voogt (CDA, Zwijndrecht), Joke Stravers (Gemeentebelangen Molenwaard, Molenwaard) en Cor van Verk (PvdA, Dordrecht)</w:t>
      </w:r>
    </w:p>
    <w:p w:rsidR="008D3AB2" w:rsidRDefault="008D3AB2">
      <w:pPr>
        <w:pStyle w:val="Lijstalinea"/>
        <w:ind w:left="360"/>
        <w:rPr>
          <w:i/>
          <w:iCs/>
        </w:rPr>
      </w:pPr>
    </w:p>
    <w:p w:rsidR="008D3AB2" w:rsidRDefault="008D3AB2">
      <w:pPr>
        <w:pStyle w:val="Lijstalinea"/>
        <w:ind w:left="360"/>
      </w:pPr>
      <w:r>
        <w:rPr>
          <w:i/>
          <w:iCs/>
        </w:rPr>
        <w:t>Bijgevoegd vanaf de volgende pagina: de zienswijze-bouwstenen</w:t>
      </w:r>
    </w:p>
    <w:p w:rsidR="00DE708E" w:rsidRDefault="00DE708E">
      <w:pPr>
        <w:pStyle w:val="Lijstalinea"/>
        <w:ind w:left="360"/>
      </w:pPr>
    </w:p>
    <w:p w:rsidR="008D3AB2" w:rsidRDefault="008D3AB2">
      <w:pPr>
        <w:pStyle w:val="Lijstalinea"/>
        <w:ind w:left="360"/>
        <w:rPr>
          <w:u w:val="single"/>
        </w:rPr>
      </w:pPr>
    </w:p>
    <w:p w:rsidR="008D3AB2" w:rsidRDefault="008D3AB2">
      <w:pPr>
        <w:pStyle w:val="Lijstalinea"/>
        <w:ind w:left="360"/>
        <w:rPr>
          <w:u w:val="single"/>
        </w:rPr>
      </w:pPr>
    </w:p>
    <w:p w:rsidR="008D3AB2" w:rsidRDefault="008D3AB2">
      <w:pPr>
        <w:pStyle w:val="Lijstalinea"/>
        <w:ind w:left="360"/>
        <w:rPr>
          <w:u w:val="single"/>
        </w:rPr>
      </w:pPr>
    </w:p>
    <w:p w:rsidR="008D3AB2" w:rsidRDefault="008D3AB2">
      <w:pPr>
        <w:pStyle w:val="Lijstalinea"/>
        <w:ind w:left="360"/>
        <w:rPr>
          <w:u w:val="single"/>
        </w:rPr>
      </w:pPr>
    </w:p>
    <w:p w:rsidR="008D3AB2" w:rsidRDefault="008D3AB2">
      <w:pPr>
        <w:pStyle w:val="Lijstalinea"/>
        <w:ind w:left="360"/>
        <w:rPr>
          <w:u w:val="single"/>
        </w:rPr>
      </w:pPr>
    </w:p>
    <w:p w:rsidR="008D3AB2" w:rsidRDefault="008D3AB2">
      <w:pPr>
        <w:pStyle w:val="Lijstalinea"/>
        <w:ind w:left="360"/>
        <w:rPr>
          <w:u w:val="single"/>
        </w:rPr>
      </w:pPr>
    </w:p>
    <w:p w:rsidR="008D3AB2" w:rsidRDefault="008D3AB2">
      <w:pPr>
        <w:pStyle w:val="Lijstalinea"/>
        <w:ind w:left="360"/>
        <w:rPr>
          <w:u w:val="single"/>
        </w:rPr>
      </w:pPr>
    </w:p>
    <w:p w:rsidR="008D3AB2" w:rsidRDefault="008D3AB2">
      <w:pPr>
        <w:pStyle w:val="Lijstalinea"/>
        <w:ind w:left="360"/>
        <w:rPr>
          <w:u w:val="single"/>
        </w:rPr>
      </w:pPr>
    </w:p>
    <w:p w:rsidR="008D3AB2" w:rsidRDefault="008D3AB2">
      <w:pPr>
        <w:pStyle w:val="Lijstalinea"/>
        <w:ind w:left="360"/>
        <w:rPr>
          <w:u w:val="single"/>
        </w:rPr>
      </w:pPr>
    </w:p>
    <w:p w:rsidR="008D3AB2" w:rsidRDefault="008D3AB2">
      <w:pPr>
        <w:pStyle w:val="Lijstalinea"/>
        <w:ind w:left="360"/>
        <w:rPr>
          <w:u w:val="single"/>
        </w:rPr>
      </w:pPr>
    </w:p>
    <w:p w:rsidR="008D3AB2" w:rsidRDefault="008D3AB2">
      <w:pPr>
        <w:pStyle w:val="Lijstalinea"/>
        <w:ind w:left="360"/>
        <w:rPr>
          <w:u w:val="single"/>
        </w:rPr>
      </w:pPr>
    </w:p>
    <w:p w:rsidR="008D3AB2" w:rsidRDefault="008D3AB2">
      <w:pPr>
        <w:pStyle w:val="Lijstalinea"/>
        <w:ind w:left="360"/>
        <w:rPr>
          <w:u w:val="single"/>
        </w:rPr>
      </w:pPr>
    </w:p>
    <w:p w:rsidR="008D3AB2" w:rsidRDefault="008D3AB2">
      <w:pPr>
        <w:pStyle w:val="Lijstalinea"/>
        <w:ind w:left="360"/>
        <w:rPr>
          <w:u w:val="single"/>
        </w:rPr>
      </w:pPr>
    </w:p>
    <w:p w:rsidR="008D3AB2" w:rsidRDefault="008D3AB2">
      <w:pPr>
        <w:pStyle w:val="Lijstalinea"/>
        <w:ind w:left="360"/>
        <w:rPr>
          <w:u w:val="single"/>
        </w:rPr>
      </w:pPr>
    </w:p>
    <w:p w:rsidR="00DE708E" w:rsidRPr="00DE708E" w:rsidRDefault="00DE708E">
      <w:pPr>
        <w:pStyle w:val="Lijstalinea"/>
        <w:ind w:left="360"/>
        <w:rPr>
          <w:u w:val="single"/>
        </w:rPr>
      </w:pPr>
      <w:r w:rsidRPr="00DE708E">
        <w:rPr>
          <w:u w:val="single"/>
        </w:rPr>
        <w:lastRenderedPageBreak/>
        <w:t>ZIENSWIJZE</w:t>
      </w:r>
      <w:r w:rsidR="008D3AB2">
        <w:rPr>
          <w:u w:val="single"/>
        </w:rPr>
        <w:t>-BOUWSTENEN</w:t>
      </w:r>
    </w:p>
    <w:p w:rsidR="0056649D" w:rsidRDefault="003F7B2B" w:rsidP="00BF0777">
      <w:pPr>
        <w:pStyle w:val="Geenafstand"/>
        <w:ind w:firstLine="360"/>
      </w:pPr>
      <w:r>
        <w:t>De bouwstenen omvatten, op hoofdlijnen, een viertal aandachtspunten:</w:t>
      </w:r>
    </w:p>
    <w:p w:rsidR="00BF0777" w:rsidRDefault="003F7B2B" w:rsidP="00BF0777">
      <w:pPr>
        <w:pStyle w:val="Geenafstand"/>
        <w:numPr>
          <w:ilvl w:val="0"/>
          <w:numId w:val="5"/>
        </w:numPr>
      </w:pPr>
      <w:r>
        <w:t>De analyse</w:t>
      </w:r>
    </w:p>
    <w:p w:rsidR="0056649D" w:rsidRDefault="003F7B2B" w:rsidP="00BF0777">
      <w:pPr>
        <w:pStyle w:val="Geenafstand"/>
        <w:numPr>
          <w:ilvl w:val="0"/>
          <w:numId w:val="5"/>
        </w:numPr>
      </w:pPr>
      <w:r>
        <w:t>Aandacht voor een realistische wijze van begroten</w:t>
      </w:r>
    </w:p>
    <w:p w:rsidR="0056649D" w:rsidRDefault="003F7B2B" w:rsidP="00BF0777">
      <w:pPr>
        <w:pStyle w:val="Geenafstand"/>
        <w:numPr>
          <w:ilvl w:val="0"/>
          <w:numId w:val="5"/>
        </w:numPr>
      </w:pPr>
      <w:r>
        <w:t>Kosten gaan voor de baat uit</w:t>
      </w:r>
    </w:p>
    <w:p w:rsidR="0056649D" w:rsidRDefault="003F7B2B" w:rsidP="00BF0777">
      <w:pPr>
        <w:pStyle w:val="Geenafstand"/>
        <w:numPr>
          <w:ilvl w:val="0"/>
          <w:numId w:val="5"/>
        </w:numPr>
      </w:pPr>
      <w:r>
        <w:t>Jeugdzorg is een open eind regeling.</w:t>
      </w:r>
    </w:p>
    <w:p w:rsidR="00311B21" w:rsidRDefault="003C0909" w:rsidP="00BF0777">
      <w:pPr>
        <w:ind w:left="360"/>
      </w:pPr>
      <w:r>
        <w:rPr>
          <w:b/>
          <w:bCs/>
        </w:rPr>
        <w:br/>
      </w:r>
      <w:r w:rsidR="003F7B2B">
        <w:rPr>
          <w:b/>
          <w:bCs/>
        </w:rPr>
        <w:t>Analyse</w:t>
      </w:r>
      <w:r w:rsidR="003F7B2B">
        <w:rPr>
          <w:b/>
          <w:bCs/>
        </w:rPr>
        <w:br/>
      </w:r>
      <w:r w:rsidR="003F7B2B">
        <w:t xml:space="preserve">Wij constateren dat de Serviceorganisatie een aantal belangrijke stappen voorwaarts heeft gezet. Zo heeft de Serviceorganisatie een factsheet Jeugdzorg </w:t>
      </w:r>
      <w:r w:rsidR="00BF0777">
        <w:t>gepubliceerd</w:t>
      </w:r>
      <w:r w:rsidR="003F7B2B">
        <w:t xml:space="preserve"> waarin een aantal belangrijke oorzaken in beeld worden gebracht die het uiteindelijk mogelijk maken om meer sturing te geven op de Jeugdzorg. Het feit dat bijna de helft van de kosten voortkomen uit verwijzingen van huisartsen vergroot de noodzaak om juist met deze beroepsgroep in overleg te treden. Doel van een dergelijk overleg zou moeten zijn op welke wijze zij kunnen gaan bijdragen aan de beperking van de kosten in de jeugdzorg. </w:t>
      </w:r>
    </w:p>
    <w:p w:rsidR="00BF0777" w:rsidRDefault="00BF0777" w:rsidP="00BF0777">
      <w:pPr>
        <w:ind w:left="360"/>
        <w:rPr>
          <w:b/>
          <w:bCs/>
          <w:i/>
        </w:rPr>
      </w:pPr>
      <w:r w:rsidRPr="00BF0777">
        <w:rPr>
          <w:i/>
        </w:rPr>
        <w:t>W</w:t>
      </w:r>
      <w:r w:rsidR="003F7B2B" w:rsidRPr="00BF0777">
        <w:rPr>
          <w:i/>
        </w:rPr>
        <w:t>at zijn de concrete afspraken die u heeft gemaakt</w:t>
      </w:r>
      <w:r w:rsidRPr="00BF0777">
        <w:rPr>
          <w:i/>
        </w:rPr>
        <w:t xml:space="preserve"> of wilt gaan maken</w:t>
      </w:r>
      <w:r w:rsidR="003F7B2B" w:rsidRPr="00BF0777">
        <w:rPr>
          <w:i/>
        </w:rPr>
        <w:t xml:space="preserve"> met huisartsen?</w:t>
      </w:r>
      <w:r>
        <w:rPr>
          <w:b/>
          <w:bCs/>
          <w:i/>
        </w:rPr>
        <w:tab/>
      </w:r>
    </w:p>
    <w:p w:rsidR="00B57E94" w:rsidRDefault="009A4F37" w:rsidP="00EE641B">
      <w:pPr>
        <w:spacing w:line="240" w:lineRule="auto"/>
        <w:rPr>
          <w:bCs/>
          <w:color w:val="FF0000"/>
        </w:rPr>
      </w:pPr>
      <w:r>
        <w:rPr>
          <w:bCs/>
          <w:color w:val="FF0000"/>
        </w:rPr>
        <w:t xml:space="preserve">Het is goed te zien dat we het qua richting van denken eens zijn. Op basis van de </w:t>
      </w:r>
      <w:r w:rsidR="00B57E94">
        <w:rPr>
          <w:bCs/>
          <w:color w:val="FF0000"/>
        </w:rPr>
        <w:t xml:space="preserve">vastgestelde problemen, analyses, </w:t>
      </w:r>
      <w:r>
        <w:rPr>
          <w:bCs/>
          <w:color w:val="FF0000"/>
        </w:rPr>
        <w:t>signalen</w:t>
      </w:r>
      <w:r w:rsidR="00B57E94">
        <w:rPr>
          <w:bCs/>
          <w:color w:val="FF0000"/>
        </w:rPr>
        <w:t xml:space="preserve"> etc. worden er in het Algemeen Bestuur steeds </w:t>
      </w:r>
      <w:r>
        <w:rPr>
          <w:bCs/>
          <w:color w:val="FF0000"/>
        </w:rPr>
        <w:t>afspraken gemaakt</w:t>
      </w:r>
      <w:r w:rsidR="00B57E94">
        <w:rPr>
          <w:bCs/>
          <w:color w:val="FF0000"/>
        </w:rPr>
        <w:t xml:space="preserve"> </w:t>
      </w:r>
      <w:proofErr w:type="spellStart"/>
      <w:r w:rsidR="00B57E94">
        <w:rPr>
          <w:bCs/>
          <w:color w:val="FF0000"/>
        </w:rPr>
        <w:t>cq</w:t>
      </w:r>
      <w:proofErr w:type="spellEnd"/>
      <w:r w:rsidR="00B57E94">
        <w:rPr>
          <w:bCs/>
          <w:color w:val="FF0000"/>
        </w:rPr>
        <w:t xml:space="preserve">. kaders vastgesteld, binnen welke kaders de </w:t>
      </w:r>
      <w:r>
        <w:rPr>
          <w:bCs/>
          <w:color w:val="FF0000"/>
        </w:rPr>
        <w:t xml:space="preserve">SOJ </w:t>
      </w:r>
      <w:r w:rsidR="00B57E94">
        <w:rPr>
          <w:bCs/>
          <w:color w:val="FF0000"/>
        </w:rPr>
        <w:t xml:space="preserve">steeds </w:t>
      </w:r>
      <w:r>
        <w:rPr>
          <w:bCs/>
          <w:color w:val="FF0000"/>
        </w:rPr>
        <w:t>werkt</w:t>
      </w:r>
      <w:r w:rsidR="00B57E94">
        <w:rPr>
          <w:bCs/>
          <w:color w:val="FF0000"/>
        </w:rPr>
        <w:t xml:space="preserve">. De informatie waarover we beschikken wordt steeds beleidsrijker en is meer toepasbaar om </w:t>
      </w:r>
      <w:r w:rsidR="00287E2D">
        <w:rPr>
          <w:bCs/>
          <w:color w:val="FF0000"/>
        </w:rPr>
        <w:t xml:space="preserve">mee </w:t>
      </w:r>
      <w:r w:rsidR="00B57E94">
        <w:rPr>
          <w:bCs/>
          <w:color w:val="FF0000"/>
        </w:rPr>
        <w:t>te kunnen sturen</w:t>
      </w:r>
      <w:r w:rsidR="00287E2D">
        <w:rPr>
          <w:bCs/>
          <w:color w:val="FF0000"/>
        </w:rPr>
        <w:t xml:space="preserve">, al is voorzichtigheid troef want in de jeugdhulp zijn nog weinig factoren met zekerheid te beïnvloeden. </w:t>
      </w:r>
    </w:p>
    <w:p w:rsidR="00287E2D" w:rsidRDefault="00287E2D" w:rsidP="00EE641B">
      <w:pPr>
        <w:spacing w:line="240" w:lineRule="auto"/>
        <w:rPr>
          <w:bCs/>
          <w:color w:val="FF0000"/>
        </w:rPr>
      </w:pPr>
      <w:r>
        <w:rPr>
          <w:bCs/>
          <w:color w:val="FF0000"/>
        </w:rPr>
        <w:t>Om ook meer in de praktijk regie te krijgen is na veel overleg met alle partijen het</w:t>
      </w:r>
      <w:r w:rsidR="009A4F37">
        <w:rPr>
          <w:bCs/>
          <w:color w:val="FF0000"/>
        </w:rPr>
        <w:t xml:space="preserve"> </w:t>
      </w:r>
      <w:r w:rsidR="00860A7F" w:rsidRPr="00860A7F">
        <w:rPr>
          <w:bCs/>
          <w:color w:val="FF0000"/>
        </w:rPr>
        <w:t xml:space="preserve">Meerjarenperspectief (MJP) </w:t>
      </w:r>
      <w:r>
        <w:rPr>
          <w:bCs/>
          <w:color w:val="FF0000"/>
        </w:rPr>
        <w:t xml:space="preserve">opgesteld; een perspectief met acties op 3 niveaus, te weten lokaal, in de toegang en regionaal. </w:t>
      </w:r>
    </w:p>
    <w:p w:rsidR="00860A7F" w:rsidRPr="00F40956" w:rsidRDefault="009A4F37" w:rsidP="00EE641B">
      <w:pPr>
        <w:spacing w:line="240" w:lineRule="auto"/>
        <w:rPr>
          <w:bCs/>
          <w:color w:val="FF0000"/>
        </w:rPr>
      </w:pPr>
      <w:r>
        <w:rPr>
          <w:bCs/>
          <w:color w:val="FF0000"/>
        </w:rPr>
        <w:t xml:space="preserve">Vanwege de verantwoordelijkheid en de beïnvloedbaarheid op verschillende niveaus </w:t>
      </w:r>
      <w:r w:rsidR="00860A7F" w:rsidRPr="00860A7F">
        <w:rPr>
          <w:bCs/>
          <w:color w:val="FF0000"/>
        </w:rPr>
        <w:t>is</w:t>
      </w:r>
      <w:r w:rsidR="00287E2D">
        <w:rPr>
          <w:bCs/>
          <w:color w:val="FF0000"/>
        </w:rPr>
        <w:t xml:space="preserve"> t.a.v. he</w:t>
      </w:r>
      <w:r>
        <w:rPr>
          <w:bCs/>
          <w:color w:val="FF0000"/>
        </w:rPr>
        <w:t>t specifieke punt</w:t>
      </w:r>
      <w:r w:rsidR="00287E2D">
        <w:rPr>
          <w:bCs/>
          <w:color w:val="FF0000"/>
        </w:rPr>
        <w:t xml:space="preserve"> positie huisartsen</w:t>
      </w:r>
      <w:r>
        <w:rPr>
          <w:bCs/>
          <w:color w:val="FF0000"/>
        </w:rPr>
        <w:t xml:space="preserve"> </w:t>
      </w:r>
      <w:r w:rsidR="00860A7F" w:rsidRPr="00860A7F">
        <w:rPr>
          <w:bCs/>
          <w:color w:val="FF0000"/>
        </w:rPr>
        <w:t xml:space="preserve"> afgesproken dat het verbeteren van de samenwerking tussen gemeenten en huisartsen een lokale aangelegenheid is.</w:t>
      </w:r>
      <w:r w:rsidR="00F40956">
        <w:rPr>
          <w:bCs/>
          <w:color w:val="FF0000"/>
        </w:rPr>
        <w:t xml:space="preserve"> </w:t>
      </w:r>
      <w:r w:rsidR="00860A7F">
        <w:rPr>
          <w:color w:val="FF0000"/>
        </w:rPr>
        <w:t>Pagina 10 MJP "…….</w:t>
      </w:r>
      <w:r w:rsidR="00860A7F" w:rsidRPr="00860A7F">
        <w:rPr>
          <w:color w:val="FF0000"/>
        </w:rPr>
        <w:t>De huisartsen kunnen wettelijk gezien doorverwijzen naar alle vormen van jeugdhulp. Huisartsen hebben echter nog niet altijd zicht op het hele gezin, het (jeugdhulp)stelsel en wat aan hulp/ondersteuning ingezet kan worden om resultaten te behalen. Om die redenen moet de samenwerking tussen de gemeenten en de huisartsen worden verbeterd. Gemeenten geven in hun lokale plan van aanpak aan op welke wijze ze dit realiseren. In het lokale plan van aanpak moet onder andere worden opgenomen hoe de afstemming ten aanzien van doorverwijzingen naar de regionale specialistische zorgmarkt plaatsvindt</w:t>
      </w:r>
      <w:r w:rsidR="00860A7F">
        <w:rPr>
          <w:color w:val="FF0000"/>
        </w:rPr>
        <w:t>…...".</w:t>
      </w:r>
    </w:p>
    <w:p w:rsidR="0056649D" w:rsidRPr="00BF0777" w:rsidRDefault="003F7B2B" w:rsidP="00BF0777">
      <w:pPr>
        <w:ind w:left="360"/>
        <w:rPr>
          <w:b/>
          <w:bCs/>
          <w:i/>
        </w:rPr>
      </w:pPr>
      <w:r>
        <w:t>Het feit dat we nu in ieder geval enige statistische gegevens hebben ontvangen is een stap vooruit. Het beeld zou compleet zijn wanneer duidelijk zou worden wat de hulpvraag van de verschillende cliënten is; onderverdeeld van licht tot zwaar en van enkelvoudig tot meervoudig. De herkomst van de vraag (welke wijk in welke gemeente) kan daarbij een nuttige aanvulling zijn.</w:t>
      </w:r>
    </w:p>
    <w:p w:rsidR="00311B21" w:rsidRDefault="003F7B2B">
      <w:pPr>
        <w:ind w:left="360"/>
      </w:pPr>
      <w:r>
        <w:t>Tot slot missen wij een helder inzicht in de wachtlijsten voor de verschillende onderdelen van jeugdzorg.</w:t>
      </w:r>
      <w:r w:rsidR="00BF0777">
        <w:t xml:space="preserve"> </w:t>
      </w:r>
    </w:p>
    <w:p w:rsidR="0039795D" w:rsidRPr="0039795D" w:rsidRDefault="003F7B2B" w:rsidP="0039795D">
      <w:pPr>
        <w:ind w:left="360"/>
        <w:rPr>
          <w:i/>
        </w:rPr>
      </w:pPr>
      <w:r w:rsidRPr="00BF0777">
        <w:rPr>
          <w:i/>
        </w:rPr>
        <w:t xml:space="preserve">Hoeveel mensen moeten wachten op hulp en hoe lang is de gemiddelde wachttijd? Is dit conform uw afspraken? </w:t>
      </w:r>
    </w:p>
    <w:p w:rsidR="0056649D" w:rsidRDefault="003F7B2B">
      <w:pPr>
        <w:ind w:left="360"/>
      </w:pPr>
      <w:r>
        <w:t>Naast het gemiddeld zouden wij ook een beeld hebben van de minimale en maximale wachttijd.</w:t>
      </w:r>
    </w:p>
    <w:p w:rsidR="00A66C65" w:rsidRDefault="00287E2D" w:rsidP="00FD561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color w:val="FF0000"/>
          <w:bdr w:val="none" w:sz="0" w:space="0" w:color="auto"/>
          <w:lang w:eastAsia="en-US"/>
        </w:rPr>
      </w:pPr>
      <w:r>
        <w:rPr>
          <w:rFonts w:cs="Times New Roman"/>
          <w:color w:val="FF0000"/>
          <w:bdr w:val="none" w:sz="0" w:space="0" w:color="auto"/>
          <w:lang w:eastAsia="en-US"/>
        </w:rPr>
        <w:lastRenderedPageBreak/>
        <w:t>De SOJ beschikt over veel informatie die steeds beleidsrijker wordt en meer toepasbaar om te kunnen sturen. De complexiteit van het veld en de enorme hoeveelheid variabelen maken dat een c</w:t>
      </w:r>
      <w:r w:rsidR="00A66C65">
        <w:rPr>
          <w:rFonts w:cs="Times New Roman"/>
          <w:color w:val="FF0000"/>
          <w:bdr w:val="none" w:sz="0" w:space="0" w:color="auto"/>
          <w:lang w:eastAsia="en-US"/>
        </w:rPr>
        <w:t>ompleet beeld niet haalbaar is om echt te kunnen sturen. Dit is in heel Nederland het geval.</w:t>
      </w:r>
    </w:p>
    <w:p w:rsidR="00FD5617" w:rsidRPr="00FD5617" w:rsidRDefault="00FD5617" w:rsidP="00FD561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color w:val="FF0000"/>
          <w:bdr w:val="none" w:sz="0" w:space="0" w:color="auto"/>
          <w:lang w:eastAsia="en-US"/>
        </w:rPr>
      </w:pPr>
      <w:r w:rsidRPr="00FD5617">
        <w:rPr>
          <w:rFonts w:cs="Times New Roman"/>
          <w:color w:val="FF0000"/>
          <w:bdr w:val="none" w:sz="0" w:space="0" w:color="auto"/>
          <w:lang w:eastAsia="en-US"/>
        </w:rPr>
        <w:t>Het is goed om te realiseren dat ‘de wachtlijst’ voor ‘de specialistische zorg’ niet bestaat. In de regionale zorgmarkt leveren ongeveer 170 jeugdhulpaanbieders jeugdhulpproducten aan de jeugdigen uit onze regio met psychische problemen en stoornissen, psychosociale problemen, gedragsproblemen of een verstandelijke beperking of een combinatie van deze problemen. Zij bepalen individueel hoe zij omgaan met instroom van cliënten en het moment waarop jeugdhulp kan worden geboden. Daarnaast hebben aanbieders in het algemeen meerdere typen zorg waarvoor verschillende wachttijden gelden. Voor sommige vormen zijn wachtlijsten, voor andere vormen niet. </w:t>
      </w:r>
      <w:r w:rsidR="00A66C65">
        <w:rPr>
          <w:rFonts w:cs="Times New Roman"/>
          <w:color w:val="FF0000"/>
          <w:bdr w:val="none" w:sz="0" w:space="0" w:color="auto"/>
          <w:lang w:eastAsia="en-US"/>
        </w:rPr>
        <w:t>Wachtlijstgegevens worden door aanbieders op hun website gezet.</w:t>
      </w:r>
      <w:r w:rsidRPr="00FD5617">
        <w:rPr>
          <w:rFonts w:cs="Times New Roman"/>
          <w:color w:val="FF0000"/>
          <w:bdr w:val="none" w:sz="0" w:space="0" w:color="auto"/>
          <w:lang w:eastAsia="en-US"/>
        </w:rPr>
        <w:t xml:space="preserve"> Hoe dan ook is er nooit een wachtlijst voor een crisissituatie want dan wordt er altijd ingegrepen/gehandeld. </w:t>
      </w:r>
    </w:p>
    <w:p w:rsidR="00FD5617" w:rsidRPr="00FD5617" w:rsidRDefault="00FD5617" w:rsidP="00FD561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color w:val="FF0000"/>
          <w:bdr w:val="none" w:sz="0" w:space="0" w:color="auto"/>
          <w:lang w:eastAsia="en-US"/>
        </w:rPr>
      </w:pPr>
    </w:p>
    <w:p w:rsidR="00FD5617" w:rsidRPr="00FD5617" w:rsidRDefault="00FD5617" w:rsidP="00FD561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color w:val="FF0000"/>
          <w:bdr w:val="none" w:sz="0" w:space="0" w:color="auto"/>
          <w:lang w:eastAsia="en-US"/>
        </w:rPr>
      </w:pPr>
      <w:r w:rsidRPr="00FD5617">
        <w:rPr>
          <w:rFonts w:cs="Times New Roman"/>
          <w:color w:val="FF0000"/>
          <w:bdr w:val="none" w:sz="0" w:space="0" w:color="auto"/>
          <w:lang w:eastAsia="en-US"/>
        </w:rPr>
        <w:t xml:space="preserve">In onze regio zijn er jeugdhulpaanbieders die een cliëntstop hebben, omdat zij het hun toegekende budget volledig hebben </w:t>
      </w:r>
      <w:r w:rsidR="00A66C65">
        <w:rPr>
          <w:rFonts w:cs="Times New Roman"/>
          <w:color w:val="FF0000"/>
          <w:bdr w:val="none" w:sz="0" w:space="0" w:color="auto"/>
          <w:lang w:eastAsia="en-US"/>
        </w:rPr>
        <w:t xml:space="preserve">benut </w:t>
      </w:r>
      <w:r w:rsidRPr="00FD5617">
        <w:rPr>
          <w:rFonts w:cs="Times New Roman"/>
          <w:color w:val="FF0000"/>
          <w:bdr w:val="none" w:sz="0" w:space="0" w:color="auto"/>
          <w:lang w:eastAsia="en-US"/>
        </w:rPr>
        <w:t xml:space="preserve">of </w:t>
      </w:r>
      <w:r w:rsidR="00A66C65">
        <w:rPr>
          <w:rFonts w:cs="Times New Roman"/>
          <w:color w:val="FF0000"/>
          <w:bdr w:val="none" w:sz="0" w:space="0" w:color="auto"/>
          <w:lang w:eastAsia="en-US"/>
        </w:rPr>
        <w:t xml:space="preserve">de rest van het jaar </w:t>
      </w:r>
      <w:r w:rsidRPr="00FD5617">
        <w:rPr>
          <w:rFonts w:cs="Times New Roman"/>
          <w:color w:val="FF0000"/>
          <w:bdr w:val="none" w:sz="0" w:space="0" w:color="auto"/>
          <w:lang w:eastAsia="en-US"/>
        </w:rPr>
        <w:t>gaan benutten. Stichting Jeugdteam</w:t>
      </w:r>
      <w:r w:rsidR="00A66C65">
        <w:rPr>
          <w:rFonts w:cs="Times New Roman"/>
          <w:color w:val="FF0000"/>
          <w:bdr w:val="none" w:sz="0" w:space="0" w:color="auto"/>
          <w:lang w:eastAsia="en-US"/>
        </w:rPr>
        <w:t>s</w:t>
      </w:r>
      <w:r w:rsidRPr="00FD5617">
        <w:rPr>
          <w:rFonts w:cs="Times New Roman"/>
          <w:color w:val="FF0000"/>
          <w:bdr w:val="none" w:sz="0" w:space="0" w:color="auto"/>
          <w:lang w:eastAsia="en-US"/>
        </w:rPr>
        <w:t xml:space="preserve"> wordt op de hoogte gesteld van deze </w:t>
      </w:r>
      <w:proofErr w:type="spellStart"/>
      <w:r w:rsidRPr="00FD5617">
        <w:rPr>
          <w:rFonts w:cs="Times New Roman"/>
          <w:color w:val="FF0000"/>
          <w:bdr w:val="none" w:sz="0" w:space="0" w:color="auto"/>
          <w:lang w:eastAsia="en-US"/>
        </w:rPr>
        <w:t>cliëntenstops</w:t>
      </w:r>
      <w:proofErr w:type="spellEnd"/>
      <w:r w:rsidRPr="00FD5617">
        <w:rPr>
          <w:rFonts w:cs="Times New Roman"/>
          <w:color w:val="FF0000"/>
          <w:bdr w:val="none" w:sz="0" w:space="0" w:color="auto"/>
          <w:lang w:eastAsia="en-US"/>
        </w:rPr>
        <w:t>, zodat zij hier rekening mee kunnen houden bij hun advies voor de inzet van jeugdhulp.</w:t>
      </w:r>
    </w:p>
    <w:p w:rsidR="00FD5617" w:rsidRPr="00FD5617" w:rsidRDefault="00FD5617" w:rsidP="00FD561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color w:val="FF0000"/>
          <w:bdr w:val="none" w:sz="0" w:space="0" w:color="auto"/>
          <w:lang w:eastAsia="en-US"/>
        </w:rPr>
      </w:pPr>
      <w:r w:rsidRPr="00FD5617">
        <w:rPr>
          <w:rFonts w:cs="Times New Roman"/>
          <w:color w:val="FF0000"/>
          <w:bdr w:val="none" w:sz="0" w:space="0" w:color="auto"/>
          <w:lang w:eastAsia="en-US"/>
        </w:rPr>
        <w:t>Als een jeugdige niet kan wachten op een bepaald product waar een wachttijd voor is, kan worden onderzocht of een andere aanbieder dit sneller kan leveren. Dit is ook afhankelijk van wat de jeugdige/ouder wil.</w:t>
      </w:r>
      <w:r w:rsidR="00F40956">
        <w:rPr>
          <w:rFonts w:cs="Times New Roman"/>
          <w:color w:val="FF0000"/>
          <w:bdr w:val="none" w:sz="0" w:space="0" w:color="auto"/>
          <w:lang w:eastAsia="en-US"/>
        </w:rPr>
        <w:t xml:space="preserve"> </w:t>
      </w:r>
      <w:r w:rsidRPr="00FD5617">
        <w:rPr>
          <w:rFonts w:cs="Times New Roman"/>
          <w:color w:val="FF0000"/>
          <w:bdr w:val="none" w:sz="0" w:space="0" w:color="auto"/>
          <w:lang w:eastAsia="en-US"/>
        </w:rPr>
        <w:t>Daarnaast werken we met de 'Nee, tenzij regeling'. Hierdoor kunnen jeugdigen die aangewezen zijn op een specifieke aanbieder waar sprake is van een cliëntenstop en niet kunnen wachten toch jeugdhulp kunnen ontvangen.</w:t>
      </w:r>
    </w:p>
    <w:p w:rsidR="0039795D" w:rsidRPr="0039795D" w:rsidRDefault="0039795D" w:rsidP="0039795D">
      <w:pPr>
        <w:rPr>
          <w:color w:val="FF0000"/>
        </w:rPr>
      </w:pPr>
    </w:p>
    <w:p w:rsidR="0056649D" w:rsidRDefault="003F7B2B">
      <w:pPr>
        <w:ind w:left="360"/>
        <w:rPr>
          <w:b/>
          <w:bCs/>
        </w:rPr>
      </w:pPr>
      <w:r>
        <w:rPr>
          <w:b/>
          <w:bCs/>
        </w:rPr>
        <w:t>Wijze van begroten</w:t>
      </w:r>
      <w:r>
        <w:rPr>
          <w:b/>
          <w:bCs/>
        </w:rPr>
        <w:br/>
      </w:r>
      <w:r>
        <w:t>Meermaals hebben wij nadrukkelijk en meermalen aangedrongen op een realistische wijze van begroten. Wij definieerden dat als een begroting gebaseerd op de voorlopige uitkomsten zoals geconstateerd in de Bestuursrapportages verhoogd met het acres; de demografische ontwikkelingen en de verwerking van de voorgenomen maatregelen van de rijksoverheid. Dit laatste zowel in positieve als negatieve zin. Een wijze van begroten die wij wel terugzien bij de SDD (Sociale Dienst Drechtsteden) maar missen bij de SOJ.</w:t>
      </w:r>
    </w:p>
    <w:p w:rsidR="0056649D" w:rsidRDefault="003F7B2B">
      <w:pPr>
        <w:ind w:left="360"/>
      </w:pPr>
      <w:r>
        <w:t>Wij constateren dat er momenteel een zekere mate sprake van wens-begroten plaatsvindt zonder dat daar enige onderbouwing voor wordt geleverd. Deze wijze van begroten geeft een politiek wenselijk beeld maar kan leiden tot oplopende korte-termijntekorten. In deze Bestuursrapportage blijkt dat onder meer uit het niet te realiseren doel om € 1,4 miljoen te besparen op specialistische hulp door 211 minder doorverwijzingen vanuit de verschillende gemeenten.</w:t>
      </w:r>
    </w:p>
    <w:p w:rsidR="0056649D" w:rsidRDefault="003F7B2B">
      <w:pPr>
        <w:ind w:left="360"/>
      </w:pPr>
      <w:r>
        <w:t xml:space="preserve">Wij vragen nogmaals aan voor het opstellen van een realistische begroting. Het doel daarvan is tweeledig; </w:t>
      </w:r>
    </w:p>
    <w:p w:rsidR="0056649D" w:rsidRDefault="003F7B2B">
      <w:pPr>
        <w:pStyle w:val="Lijstalinea"/>
        <w:numPr>
          <w:ilvl w:val="0"/>
          <w:numId w:val="4"/>
        </w:numPr>
      </w:pPr>
      <w:r>
        <w:t>Het voorkomt de herhaaldelijke discussie dat er telkenmale extra middelen bij moeten worden geplust wat het gevoel geeft dat het ontbreekt aan control in deze sector. Wenselijk begroten kan op die manier ernstig schade doen aan de inhoudelijke doelstelling namelijk het uitvoeren van de wet Jeugdzorg.</w:t>
      </w:r>
    </w:p>
    <w:p w:rsidR="0056649D" w:rsidRDefault="003F7B2B">
      <w:pPr>
        <w:pStyle w:val="Lijstalinea"/>
        <w:numPr>
          <w:ilvl w:val="0"/>
          <w:numId w:val="4"/>
        </w:numPr>
      </w:pPr>
      <w:r>
        <w:t>Het brengt de raden (de politiek) in positie om aan te geven in hoeverre zij bereid zijn de kosten te dekken en op welke wij zij de (verwachte) overschrijdingen denken te voorkomen of te dekken.</w:t>
      </w:r>
    </w:p>
    <w:p w:rsidR="0056649D" w:rsidRDefault="00BF0777">
      <w:pPr>
        <w:pStyle w:val="Lijstalinea"/>
        <w:ind w:left="360"/>
        <w:rPr>
          <w:i/>
        </w:rPr>
      </w:pPr>
      <w:r w:rsidRPr="00BF0777">
        <w:rPr>
          <w:i/>
        </w:rPr>
        <w:t>W</w:t>
      </w:r>
      <w:r w:rsidR="003F7B2B" w:rsidRPr="00BF0777">
        <w:rPr>
          <w:i/>
        </w:rPr>
        <w:t>anneer kunnen wij een re</w:t>
      </w:r>
      <w:r w:rsidRPr="00BF0777">
        <w:rPr>
          <w:i/>
        </w:rPr>
        <w:t>alistische begroting verwachten?</w:t>
      </w:r>
    </w:p>
    <w:p w:rsidR="001B671F" w:rsidRPr="00EE641B" w:rsidRDefault="0039795D" w:rsidP="00EE641B">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ind w:left="360"/>
        <w:contextualSpacing/>
        <w:rPr>
          <w:rFonts w:ascii="Times New Roman" w:eastAsia="Times New Roman" w:hAnsi="Times New Roman" w:cs="Times New Roman"/>
          <w:color w:val="FF0000"/>
          <w:sz w:val="48"/>
          <w:szCs w:val="24"/>
          <w:bdr w:val="none" w:sz="0" w:space="0" w:color="auto"/>
        </w:rPr>
      </w:pPr>
      <w:r w:rsidRPr="005D58EE">
        <w:rPr>
          <w:color w:val="FF0000"/>
        </w:rPr>
        <w:lastRenderedPageBreak/>
        <w:t>In het Meerjarenperspectief hebben de 17 gemeenten van de regio Zuid-Holland Zuid afgesproken dat de rijksbijdrage leidend is voor het budget dat beschikbaar is voor het organiseren van jeugdhulp in de regio. Beke</w:t>
      </w:r>
      <w:r w:rsidRPr="00EE641B">
        <w:rPr>
          <w:color w:val="FF0000"/>
        </w:rPr>
        <w:t>nd was</w:t>
      </w:r>
      <w:r w:rsidR="00A66C65" w:rsidRPr="00EE641B">
        <w:rPr>
          <w:color w:val="FF0000"/>
        </w:rPr>
        <w:t xml:space="preserve"> </w:t>
      </w:r>
      <w:r w:rsidRPr="00EE641B">
        <w:rPr>
          <w:color w:val="FF0000"/>
        </w:rPr>
        <w:t>dat de vraag naar jeugdhulp dit budget overschrijdt, waardoor ophoging van het budget noodzakelijk blijft zolang het gebruik van jeugdhulp niet minder wordt. In het Meerjarenperspectief (MJP) is op de toen bekende zorgvraag een realistische begroting opgenomen, aangevuld met een taakstelling per jaar om het tekort ten opzichte van de rijksbijdrage minus Lokale Impuls in te lopen. Per jaar is een taakstelling opgenomen voor de reductie van de instroom van het aantal jeugdigen, te realiseren door gemeenten en jeugdteams. Gemeenten hebben hiertoe plannen ontwikkeld. Gebleken is dat de taakstelling op de reductie van de instroom van het aantal jeugdigen in de 2</w:t>
      </w:r>
      <w:r w:rsidRPr="00EE641B">
        <w:rPr>
          <w:color w:val="FF0000"/>
          <w:vertAlign w:val="superscript"/>
        </w:rPr>
        <w:t>e</w:t>
      </w:r>
      <w:r w:rsidRPr="00EE641B">
        <w:rPr>
          <w:color w:val="FF0000"/>
        </w:rPr>
        <w:t xml:space="preserve"> lijn niet is gerealiseerd. Vervolgens is bij de jaarrekening gebleken dat de zorgvraag is toegenomen. </w:t>
      </w:r>
      <w:r w:rsidR="00A66C65" w:rsidRPr="00EE641B">
        <w:rPr>
          <w:color w:val="FF0000"/>
        </w:rPr>
        <w:t xml:space="preserve"> Door het Algemeen Bestuur dient een besluit genomen te worden wat de kaders zijn voor begrotingsafspraken die de SOJ volgt. Tot op heden is het kader uit te gaan van de middelen uit de Rijksbegroting. De wijziging </w:t>
      </w:r>
      <w:r w:rsidR="001B671F" w:rsidRPr="00EE641B">
        <w:rPr>
          <w:color w:val="FF0000"/>
        </w:rPr>
        <w:t xml:space="preserve">voor het jaar 2019 e.v. waarbij de </w:t>
      </w:r>
      <w:r w:rsidR="001B671F" w:rsidRPr="00EE641B">
        <w:rPr>
          <w:rFonts w:cs="Times New Roman"/>
          <w:color w:val="FF0000"/>
          <w:kern w:val="24"/>
          <w:bdr w:val="none" w:sz="0" w:space="0" w:color="auto"/>
        </w:rPr>
        <w:t xml:space="preserve">Integratie uitkering sociaal domein /  jeugd is opgegaan in de algemene uitkering van een gemeente vormt in elk geval aanleiding een nieuw kader te </w:t>
      </w:r>
      <w:r w:rsidR="005D58EE" w:rsidRPr="00EE641B">
        <w:rPr>
          <w:rFonts w:cs="Times New Roman"/>
          <w:color w:val="FF0000"/>
          <w:kern w:val="24"/>
          <w:bdr w:val="none" w:sz="0" w:space="0" w:color="auto"/>
        </w:rPr>
        <w:t xml:space="preserve">stellen. In deze discussie wordt het verzoek </w:t>
      </w:r>
      <w:r w:rsidR="001B671F" w:rsidRPr="00EE641B">
        <w:rPr>
          <w:rFonts w:cs="Times New Roman"/>
          <w:color w:val="FF0000"/>
          <w:kern w:val="24"/>
          <w:bdr w:val="none" w:sz="0" w:space="0" w:color="auto"/>
        </w:rPr>
        <w:t xml:space="preserve">om een </w:t>
      </w:r>
      <w:r w:rsidR="005D58EE" w:rsidRPr="00EE641B">
        <w:rPr>
          <w:rFonts w:cs="Times New Roman"/>
          <w:color w:val="FF0000"/>
          <w:kern w:val="24"/>
          <w:bdr w:val="none" w:sz="0" w:space="0" w:color="auto"/>
        </w:rPr>
        <w:t>realistische begroting zeker meegenomen.</w:t>
      </w:r>
      <w:r w:rsidR="001B671F" w:rsidRPr="00EE641B">
        <w:rPr>
          <w:rFonts w:cs="Times New Roman"/>
          <w:color w:val="FF0000"/>
          <w:kern w:val="24"/>
          <w:bdr w:val="none" w:sz="0" w:space="0" w:color="auto"/>
        </w:rPr>
        <w:t xml:space="preserve"> </w:t>
      </w:r>
    </w:p>
    <w:p w:rsidR="0039795D" w:rsidRPr="0039795D" w:rsidRDefault="0039795D" w:rsidP="0039795D">
      <w:pPr>
        <w:rPr>
          <w:color w:val="FF0000"/>
        </w:rPr>
      </w:pPr>
    </w:p>
    <w:p w:rsidR="0056649D" w:rsidRPr="00BF0777" w:rsidRDefault="003F7B2B" w:rsidP="00BF0777">
      <w:pPr>
        <w:pStyle w:val="Lijstalinea"/>
        <w:ind w:left="360"/>
        <w:rPr>
          <w:b/>
          <w:bCs/>
        </w:rPr>
      </w:pPr>
      <w:r>
        <w:rPr>
          <w:b/>
          <w:bCs/>
        </w:rPr>
        <w:t>Kosten gaan voor de Baat uit</w:t>
      </w:r>
      <w:r w:rsidR="00BF0777">
        <w:rPr>
          <w:b/>
          <w:bCs/>
        </w:rPr>
        <w:br/>
      </w:r>
      <w:r>
        <w:t>Investeren in lokale preventieve maatregelen is van groot belang. Preventief beleid zal pas enkele jaren later vruchten gaan afwerpen; middelen van achter (=specialistische hulp) naar voren (projecten op lokaal niveau) halen, is daarom feitelijk onmogelijk. In een dergelijk geval zouden immers tekorten ontstaan aan de achterkant. De SOJ kan hier geen te hoge (financiële) verwachtingen van hebben.</w:t>
      </w:r>
    </w:p>
    <w:p w:rsidR="0056649D" w:rsidRDefault="003F7B2B">
      <w:pPr>
        <w:pStyle w:val="Lijstalinea"/>
        <w:ind w:left="360"/>
      </w:pPr>
      <w:r>
        <w:t>Tegelijkertijd stellen wij vast dat er ook optimistisch is begroot door te veronderstellen dat lokale raden in 2018 al in staat zouden zijn om lokale beleidsplannen vast te stellen. In een verkiezingsjaar kan er veel voorbereid worden maar is niet dit niet gelukt in alle raden.</w:t>
      </w:r>
    </w:p>
    <w:p w:rsidR="00311B21" w:rsidRDefault="003F7B2B">
      <w:pPr>
        <w:pStyle w:val="Lijstalinea"/>
        <w:ind w:left="360"/>
      </w:pPr>
      <w:r>
        <w:rPr>
          <w:b/>
          <w:bCs/>
        </w:rPr>
        <w:t>Jeugdzorg blijft een Open Eind Regeling</w:t>
      </w:r>
      <w:r w:rsidR="00BF0777">
        <w:rPr>
          <w:b/>
          <w:bCs/>
        </w:rPr>
        <w:br/>
      </w:r>
      <w:r>
        <w:t>Door het karakter van de Jeugdwet blijft jeugdhulp een Open Eind Regeling waarvan beheersing lastig is. Uiteraard bestaat er de mogelijkheid om allerlei (ad-hoc) maatregelen te treffen. Wij willen daar als raden echter nauw bij betrokken zijn en blijven. Het gaat om het welzijn van onze kinderen en jongeren, waar niet lichtvaardig mee kan en mag worden omgesprongen. Veel maatregelen hebben gevolgen voor de kwaliteit en aard van de hulpverlening, nu en in de toekomst.</w:t>
      </w:r>
      <w:r w:rsidR="00BF0777">
        <w:t xml:space="preserve"> </w:t>
      </w:r>
    </w:p>
    <w:p w:rsidR="0056649D" w:rsidRDefault="00BF0777">
      <w:pPr>
        <w:pStyle w:val="Lijstalinea"/>
        <w:ind w:left="360"/>
        <w:rPr>
          <w:i/>
        </w:rPr>
      </w:pPr>
      <w:r w:rsidRPr="00BF0777">
        <w:rPr>
          <w:i/>
        </w:rPr>
        <w:t>W</w:t>
      </w:r>
      <w:r w:rsidR="003F7B2B" w:rsidRPr="00BF0777">
        <w:rPr>
          <w:i/>
        </w:rPr>
        <w:t xml:space="preserve">ij </w:t>
      </w:r>
      <w:r w:rsidR="003C0909" w:rsidRPr="00BF0777">
        <w:rPr>
          <w:i/>
        </w:rPr>
        <w:t>vragen</w:t>
      </w:r>
      <w:r w:rsidR="003F7B2B" w:rsidRPr="00BF0777">
        <w:rPr>
          <w:i/>
        </w:rPr>
        <w:t xml:space="preserve"> om de raad </w:t>
      </w:r>
      <w:r>
        <w:rPr>
          <w:i/>
        </w:rPr>
        <w:t xml:space="preserve">proactief te </w:t>
      </w:r>
      <w:r w:rsidR="003F7B2B" w:rsidRPr="00BF0777">
        <w:rPr>
          <w:i/>
        </w:rPr>
        <w:t xml:space="preserve">benaderen en de raden op voorhand </w:t>
      </w:r>
      <w:r>
        <w:rPr>
          <w:i/>
        </w:rPr>
        <w:t xml:space="preserve">te betrekken </w:t>
      </w:r>
      <w:r w:rsidR="003F7B2B" w:rsidRPr="00BF0777">
        <w:rPr>
          <w:i/>
        </w:rPr>
        <w:t>bij de te neme</w:t>
      </w:r>
      <w:r>
        <w:rPr>
          <w:i/>
        </w:rPr>
        <w:t>n maatregelen.</w:t>
      </w:r>
    </w:p>
    <w:p w:rsidR="00F40956" w:rsidRPr="00E877F9" w:rsidRDefault="005D58EE">
      <w:pPr>
        <w:pStyle w:val="Lijstalinea"/>
        <w:ind w:left="360"/>
        <w:rPr>
          <w:color w:val="FF0000"/>
        </w:rPr>
      </w:pPr>
      <w:r>
        <w:rPr>
          <w:color w:val="FF0000"/>
        </w:rPr>
        <w:t xml:space="preserve">De </w:t>
      </w:r>
      <w:r w:rsidR="00E877F9" w:rsidRPr="00E877F9">
        <w:rPr>
          <w:color w:val="FF0000"/>
        </w:rPr>
        <w:t xml:space="preserve">SOJ </w:t>
      </w:r>
      <w:r>
        <w:rPr>
          <w:color w:val="FF0000"/>
        </w:rPr>
        <w:t xml:space="preserve">werkt binnen de kaders van het AB. Bij de advisering aan het AB </w:t>
      </w:r>
      <w:r w:rsidR="00E877F9" w:rsidRPr="00E877F9">
        <w:rPr>
          <w:color w:val="FF0000"/>
        </w:rPr>
        <w:t>betrekt</w:t>
      </w:r>
      <w:r>
        <w:rPr>
          <w:color w:val="FF0000"/>
        </w:rPr>
        <w:t xml:space="preserve"> de SOJ ook</w:t>
      </w:r>
      <w:r w:rsidR="00E877F9" w:rsidRPr="00E877F9">
        <w:rPr>
          <w:color w:val="FF0000"/>
        </w:rPr>
        <w:t xml:space="preserve"> de Raden proactief bij het te vormen beleid; dat heeft SOJ altijd gedaan en zal dat ook blijven doen. Wij doen dat onder andere door het organiseren van sub regionale bijeenkomsten waarin SOJ </w:t>
      </w:r>
      <w:r w:rsidR="00E877F9">
        <w:rPr>
          <w:color w:val="FF0000"/>
        </w:rPr>
        <w:t xml:space="preserve">uitleg geeft over haar beleid en tegelijkertijd input van de aanwezige raadsleden vraagt voor nieuw te vormen beleid. </w:t>
      </w:r>
    </w:p>
    <w:p w:rsidR="0056649D" w:rsidRDefault="003F7B2B">
      <w:pPr>
        <w:pStyle w:val="Lijstalinea"/>
        <w:ind w:left="360"/>
        <w:rPr>
          <w:i/>
        </w:rPr>
      </w:pPr>
      <w:r>
        <w:t>Tot slot constateren wij dat de SOJ langzaam maar zeker groeit. Van 16</w:t>
      </w:r>
      <w:r>
        <w:rPr>
          <w:b/>
          <w:bCs/>
        </w:rPr>
        <w:t xml:space="preserve"> </w:t>
      </w:r>
      <w:r>
        <w:t xml:space="preserve">naar 24 fte. Wij vragen ons af of dit overeenkomt met het beleid dat de SOJ een kleine maar heel doeltreffende organisatie moet blijven. Wij missen de onderbouwing voor deze uitbreiding; langdurige ziekte van medewerkers leidt immers niet tot structurele uitbreiding. </w:t>
      </w:r>
      <w:r w:rsidR="00BF0777">
        <w:rPr>
          <w:i/>
        </w:rPr>
        <w:t>Wat is uw reactie hierop?</w:t>
      </w:r>
    </w:p>
    <w:p w:rsidR="00CE7DE5" w:rsidRPr="00CE7DE5" w:rsidRDefault="00CE7DE5">
      <w:pPr>
        <w:pStyle w:val="Lijstalinea"/>
        <w:ind w:left="360"/>
        <w:rPr>
          <w:color w:val="FF0000"/>
        </w:rPr>
      </w:pPr>
      <w:r w:rsidRPr="00CE7DE5">
        <w:rPr>
          <w:color w:val="FF0000"/>
        </w:rPr>
        <w:lastRenderedPageBreak/>
        <w:t xml:space="preserve">Het is SOJ niet duidelijk waar de 16 fte op is gebaseerd. In de </w:t>
      </w:r>
      <w:proofErr w:type="spellStart"/>
      <w:r w:rsidRPr="00CE7DE5">
        <w:rPr>
          <w:color w:val="FF0000"/>
        </w:rPr>
        <w:t>Buraps</w:t>
      </w:r>
      <w:proofErr w:type="spellEnd"/>
      <w:r w:rsidRPr="00CE7DE5">
        <w:rPr>
          <w:color w:val="FF0000"/>
        </w:rPr>
        <w:t xml:space="preserve"> van de afgelopen jaren schommelt het aantal fte tussen de 18 en 24 fte. </w:t>
      </w:r>
      <w:r w:rsidR="005D58EE">
        <w:rPr>
          <w:color w:val="FF0000"/>
        </w:rPr>
        <w:t xml:space="preserve">In de </w:t>
      </w:r>
      <w:proofErr w:type="spellStart"/>
      <w:r w:rsidR="005D58EE">
        <w:rPr>
          <w:color w:val="FF0000"/>
        </w:rPr>
        <w:t>Burap</w:t>
      </w:r>
      <w:proofErr w:type="spellEnd"/>
      <w:r w:rsidR="005D58EE">
        <w:rPr>
          <w:color w:val="FF0000"/>
        </w:rPr>
        <w:t xml:space="preserve"> wordt het aantal fte op een peildatum genomen. </w:t>
      </w:r>
      <w:r w:rsidRPr="00CE7DE5">
        <w:rPr>
          <w:color w:val="FF0000"/>
        </w:rPr>
        <w:t>Van een structurele uitbreiding is geen sprake, de stijging van fte is tijdelijk van aard en is noodzakeli</w:t>
      </w:r>
      <w:r>
        <w:rPr>
          <w:color w:val="FF0000"/>
        </w:rPr>
        <w:t xml:space="preserve">jk ter vervanging van </w:t>
      </w:r>
      <w:r w:rsidR="005D58EE">
        <w:rPr>
          <w:color w:val="FF0000"/>
        </w:rPr>
        <w:t>3</w:t>
      </w:r>
      <w:r>
        <w:rPr>
          <w:color w:val="FF0000"/>
        </w:rPr>
        <w:t xml:space="preserve"> medewerkers die langdurig ziek zijn.</w:t>
      </w:r>
      <w:r w:rsidR="005D58EE">
        <w:rPr>
          <w:color w:val="FF0000"/>
        </w:rPr>
        <w:t xml:space="preserve"> </w:t>
      </w:r>
      <w:r w:rsidR="00E67A80">
        <w:rPr>
          <w:color w:val="FF0000"/>
        </w:rPr>
        <w:t>De inzet van personeel gaat op geleide van de hoeveel</w:t>
      </w:r>
      <w:r w:rsidR="00D466D5">
        <w:rPr>
          <w:color w:val="FF0000"/>
        </w:rPr>
        <w:t>heid werk die verricht moet worden.</w:t>
      </w:r>
      <w:r w:rsidR="005D58EE">
        <w:rPr>
          <w:color w:val="FF0000"/>
        </w:rPr>
        <w:t xml:space="preserve"> In de begroting staat 23 fte en tot op heden heeft de SOJ altijd ruim binnen haar exploitatie gedraaid</w:t>
      </w:r>
      <w:r w:rsidR="002B5A99">
        <w:rPr>
          <w:color w:val="FF0000"/>
        </w:rPr>
        <w:t>.</w:t>
      </w:r>
      <w:r w:rsidR="005D58EE">
        <w:rPr>
          <w:color w:val="FF0000"/>
        </w:rPr>
        <w:t xml:space="preserve"> (organisatie- en personeelskosten)</w:t>
      </w:r>
    </w:p>
    <w:p w:rsidR="0056649D" w:rsidRDefault="003F7B2B" w:rsidP="00D80BDE">
      <w:pPr>
        <w:pStyle w:val="Lijstalinea"/>
        <w:ind w:left="360"/>
      </w:pPr>
      <w:r>
        <w:t>Verder zien wij dat er klaarblijkelijk financiële problemen ontstaan door een trage facturering. Wij hebben de SOJ al eerder gevraagd hier beleid op te maken. Wij vinden dit een zaak van de SOJ om dit te op te lossen, willen hier bestuurlijk geen last van hebben</w:t>
      </w:r>
      <w:r w:rsidR="00311B21">
        <w:t>,</w:t>
      </w:r>
      <w:r>
        <w:t xml:space="preserve"> en rekenen erop dat u overgaat tot adequate actie.</w:t>
      </w:r>
    </w:p>
    <w:p w:rsidR="005835D0" w:rsidRDefault="005835D0" w:rsidP="00EE641B">
      <w:pPr>
        <w:pStyle w:val="Lijstalinea"/>
        <w:spacing w:line="240" w:lineRule="auto"/>
        <w:ind w:left="360"/>
        <w:rPr>
          <w:color w:val="FF0000"/>
        </w:rPr>
      </w:pPr>
      <w:r w:rsidRPr="004C007E">
        <w:rPr>
          <w:color w:val="FF0000"/>
        </w:rPr>
        <w:t xml:space="preserve">Er ontstaan </w:t>
      </w:r>
      <w:r>
        <w:rPr>
          <w:color w:val="FF0000"/>
        </w:rPr>
        <w:t xml:space="preserve">als zodanig </w:t>
      </w:r>
      <w:r w:rsidRPr="004C007E">
        <w:rPr>
          <w:color w:val="FF0000"/>
        </w:rPr>
        <w:t>geen financiële problemen door trage facturering.</w:t>
      </w:r>
      <w:r>
        <w:rPr>
          <w:color w:val="FF0000"/>
        </w:rPr>
        <w:t xml:space="preserve"> </w:t>
      </w:r>
      <w:r w:rsidR="002B5A99">
        <w:rPr>
          <w:color w:val="FF0000"/>
        </w:rPr>
        <w:t>Door inspanningen van de SOJ is de facturatie door aanbieders overigens aanzienlijk versneld, maar niet snel genoeg om heel kort cyclisch verplichtingen vast te leggen, die wij in onze overzichten en voorsp</w:t>
      </w:r>
      <w:r w:rsidR="002B5A99" w:rsidRPr="00EE641B">
        <w:rPr>
          <w:color w:val="FF0000"/>
        </w:rPr>
        <w:t>ellingen</w:t>
      </w:r>
      <w:r w:rsidR="002B5A99">
        <w:rPr>
          <w:color w:val="FF0000"/>
        </w:rPr>
        <w:t xml:space="preserve"> kunnen opnemen. </w:t>
      </w:r>
      <w:r>
        <w:rPr>
          <w:color w:val="FF0000"/>
        </w:rPr>
        <w:t xml:space="preserve">Als gevolg hiervan dienen we bij analyses en voorspellingen voor een deel te werken met aannames, terwijl we dat uiteraard liever met de feiten uit de declaraties zouden doen. </w:t>
      </w:r>
    </w:p>
    <w:p w:rsidR="00533750" w:rsidRPr="00EE641B" w:rsidRDefault="00533750" w:rsidP="002B5A99">
      <w:pPr>
        <w:pStyle w:val="Lijstalinea"/>
        <w:ind w:left="360"/>
        <w:rPr>
          <w:color w:val="FF0000"/>
        </w:rPr>
      </w:pPr>
      <w:r w:rsidRPr="00EE641B">
        <w:rPr>
          <w:color w:val="FF0000"/>
        </w:rPr>
        <w:t>SOJ is afhankelijk van zorgaanbieders ten aanzien van de discipline van tijdige facturatie. De oorzake</w:t>
      </w:r>
      <w:r w:rsidR="002C526B" w:rsidRPr="00EE641B">
        <w:rPr>
          <w:color w:val="FF0000"/>
        </w:rPr>
        <w:t>n achter het niet tijdig</w:t>
      </w:r>
      <w:r w:rsidRPr="00EE641B">
        <w:rPr>
          <w:color w:val="FF0000"/>
        </w:rPr>
        <w:t xml:space="preserve"> factureren van zorgaanbieders ligt bij de zorgaanbieders zelf</w:t>
      </w:r>
      <w:r w:rsidR="002B5A99" w:rsidRPr="00EE641B">
        <w:rPr>
          <w:color w:val="FF0000"/>
        </w:rPr>
        <w:t xml:space="preserve">. </w:t>
      </w:r>
      <w:r w:rsidRPr="00EE641B">
        <w:rPr>
          <w:color w:val="FF0000"/>
        </w:rPr>
        <w:t xml:space="preserve"> SOJ heeft door middel van het afschaffen van de bevoorschotting </w:t>
      </w:r>
      <w:r w:rsidR="002C526B" w:rsidRPr="00EE641B">
        <w:rPr>
          <w:color w:val="FF0000"/>
        </w:rPr>
        <w:t>de maximale beheersmaatregel al genomen</w:t>
      </w:r>
      <w:r w:rsidR="002B5A99" w:rsidRPr="00EE641B">
        <w:rPr>
          <w:color w:val="FF0000"/>
        </w:rPr>
        <w:t xml:space="preserve">, maar zoekt verder naar </w:t>
      </w:r>
      <w:r w:rsidR="005835D0">
        <w:rPr>
          <w:color w:val="FF0000"/>
        </w:rPr>
        <w:t>alternatieve wegen</w:t>
      </w:r>
      <w:r w:rsidR="002C526B" w:rsidRPr="00EE641B">
        <w:rPr>
          <w:color w:val="FF0000"/>
        </w:rPr>
        <w:t xml:space="preserve">. </w:t>
      </w:r>
    </w:p>
    <w:sectPr w:rsidR="00533750" w:rsidRPr="00EE641B">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02C" w:rsidRDefault="003F7B2B">
      <w:pPr>
        <w:spacing w:after="0" w:line="240" w:lineRule="auto"/>
      </w:pPr>
      <w:r>
        <w:separator/>
      </w:r>
    </w:p>
  </w:endnote>
  <w:endnote w:type="continuationSeparator" w:id="0">
    <w:p w:rsidR="0076302C" w:rsidRDefault="003F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9D" w:rsidRDefault="0056649D">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02C" w:rsidRDefault="003F7B2B">
      <w:pPr>
        <w:spacing w:after="0" w:line="240" w:lineRule="auto"/>
      </w:pPr>
      <w:r>
        <w:separator/>
      </w:r>
    </w:p>
  </w:footnote>
  <w:footnote w:type="continuationSeparator" w:id="0">
    <w:p w:rsidR="0076302C" w:rsidRDefault="003F7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9D" w:rsidRDefault="0056649D">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F6760"/>
    <w:multiLevelType w:val="hybridMultilevel"/>
    <w:tmpl w:val="56042D56"/>
    <w:styleLink w:val="Gemporteerdestijl2"/>
    <w:lvl w:ilvl="0" w:tplc="C78017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2269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44D34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30E42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62A1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9446D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6003D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FE43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40482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D371989"/>
    <w:multiLevelType w:val="hybridMultilevel"/>
    <w:tmpl w:val="AE2EC532"/>
    <w:lvl w:ilvl="0" w:tplc="9DA8AD20">
      <w:start w:val="1"/>
      <w:numFmt w:val="decimal"/>
      <w:lvlText w:val="%1."/>
      <w:lvlJc w:val="left"/>
      <w:pPr>
        <w:tabs>
          <w:tab w:val="num" w:pos="720"/>
        </w:tabs>
        <w:ind w:left="720" w:hanging="360"/>
      </w:pPr>
    </w:lvl>
    <w:lvl w:ilvl="1" w:tplc="137AAAF0">
      <w:start w:val="1"/>
      <w:numFmt w:val="decimal"/>
      <w:lvlText w:val="%2."/>
      <w:lvlJc w:val="left"/>
      <w:pPr>
        <w:tabs>
          <w:tab w:val="num" w:pos="1440"/>
        </w:tabs>
        <w:ind w:left="1440" w:hanging="360"/>
      </w:pPr>
    </w:lvl>
    <w:lvl w:ilvl="2" w:tplc="229E5E3E" w:tentative="1">
      <w:start w:val="1"/>
      <w:numFmt w:val="decimal"/>
      <w:lvlText w:val="%3."/>
      <w:lvlJc w:val="left"/>
      <w:pPr>
        <w:tabs>
          <w:tab w:val="num" w:pos="2160"/>
        </w:tabs>
        <w:ind w:left="2160" w:hanging="360"/>
      </w:pPr>
    </w:lvl>
    <w:lvl w:ilvl="3" w:tplc="FA02D872" w:tentative="1">
      <w:start w:val="1"/>
      <w:numFmt w:val="decimal"/>
      <w:lvlText w:val="%4."/>
      <w:lvlJc w:val="left"/>
      <w:pPr>
        <w:tabs>
          <w:tab w:val="num" w:pos="2880"/>
        </w:tabs>
        <w:ind w:left="2880" w:hanging="360"/>
      </w:pPr>
    </w:lvl>
    <w:lvl w:ilvl="4" w:tplc="05086D7A" w:tentative="1">
      <w:start w:val="1"/>
      <w:numFmt w:val="decimal"/>
      <w:lvlText w:val="%5."/>
      <w:lvlJc w:val="left"/>
      <w:pPr>
        <w:tabs>
          <w:tab w:val="num" w:pos="3600"/>
        </w:tabs>
        <w:ind w:left="3600" w:hanging="360"/>
      </w:pPr>
    </w:lvl>
    <w:lvl w:ilvl="5" w:tplc="519E72C2" w:tentative="1">
      <w:start w:val="1"/>
      <w:numFmt w:val="decimal"/>
      <w:lvlText w:val="%6."/>
      <w:lvlJc w:val="left"/>
      <w:pPr>
        <w:tabs>
          <w:tab w:val="num" w:pos="4320"/>
        </w:tabs>
        <w:ind w:left="4320" w:hanging="360"/>
      </w:pPr>
    </w:lvl>
    <w:lvl w:ilvl="6" w:tplc="E1FAD7C8" w:tentative="1">
      <w:start w:val="1"/>
      <w:numFmt w:val="decimal"/>
      <w:lvlText w:val="%7."/>
      <w:lvlJc w:val="left"/>
      <w:pPr>
        <w:tabs>
          <w:tab w:val="num" w:pos="5040"/>
        </w:tabs>
        <w:ind w:left="5040" w:hanging="360"/>
      </w:pPr>
    </w:lvl>
    <w:lvl w:ilvl="7" w:tplc="989C1CE8" w:tentative="1">
      <w:start w:val="1"/>
      <w:numFmt w:val="decimal"/>
      <w:lvlText w:val="%8."/>
      <w:lvlJc w:val="left"/>
      <w:pPr>
        <w:tabs>
          <w:tab w:val="num" w:pos="5760"/>
        </w:tabs>
        <w:ind w:left="5760" w:hanging="360"/>
      </w:pPr>
    </w:lvl>
    <w:lvl w:ilvl="8" w:tplc="43E63FB4" w:tentative="1">
      <w:start w:val="1"/>
      <w:numFmt w:val="decimal"/>
      <w:lvlText w:val="%9."/>
      <w:lvlJc w:val="left"/>
      <w:pPr>
        <w:tabs>
          <w:tab w:val="num" w:pos="6480"/>
        </w:tabs>
        <w:ind w:left="6480" w:hanging="360"/>
      </w:pPr>
    </w:lvl>
  </w:abstractNum>
  <w:abstractNum w:abstractNumId="2" w15:restartNumberingAfterBreak="0">
    <w:nsid w:val="3F5C7AFA"/>
    <w:multiLevelType w:val="hybridMultilevel"/>
    <w:tmpl w:val="56042D56"/>
    <w:numStyleLink w:val="Gemporteerdestijl2"/>
  </w:abstractNum>
  <w:abstractNum w:abstractNumId="3" w15:restartNumberingAfterBreak="0">
    <w:nsid w:val="443436EF"/>
    <w:multiLevelType w:val="hybridMultilevel"/>
    <w:tmpl w:val="5A48D3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F7616D7"/>
    <w:multiLevelType w:val="hybridMultilevel"/>
    <w:tmpl w:val="5A1AF010"/>
    <w:numStyleLink w:val="Gemporteerdestijl1"/>
  </w:abstractNum>
  <w:abstractNum w:abstractNumId="5" w15:restartNumberingAfterBreak="0">
    <w:nsid w:val="75626FCF"/>
    <w:multiLevelType w:val="hybridMultilevel"/>
    <w:tmpl w:val="5A1AF010"/>
    <w:styleLink w:val="Gemporteerdestijl1"/>
    <w:lvl w:ilvl="0" w:tplc="1B3C33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2219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6CDE8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90250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DE36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10F74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9EED7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689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76000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9D"/>
    <w:rsid w:val="00157380"/>
    <w:rsid w:val="001B671F"/>
    <w:rsid w:val="00287E2D"/>
    <w:rsid w:val="002B5A99"/>
    <w:rsid w:val="002C526B"/>
    <w:rsid w:val="00311B21"/>
    <w:rsid w:val="0039795D"/>
    <w:rsid w:val="003C0909"/>
    <w:rsid w:val="003F7B2B"/>
    <w:rsid w:val="00533750"/>
    <w:rsid w:val="0056649D"/>
    <w:rsid w:val="005835D0"/>
    <w:rsid w:val="005D58EE"/>
    <w:rsid w:val="006E5D2A"/>
    <w:rsid w:val="0076302C"/>
    <w:rsid w:val="00860A7F"/>
    <w:rsid w:val="008D3AB2"/>
    <w:rsid w:val="009A4F37"/>
    <w:rsid w:val="00A66C65"/>
    <w:rsid w:val="00B57E94"/>
    <w:rsid w:val="00BF0777"/>
    <w:rsid w:val="00CE7DE5"/>
    <w:rsid w:val="00D466D5"/>
    <w:rsid w:val="00D80BDE"/>
    <w:rsid w:val="00DE708E"/>
    <w:rsid w:val="00E67A80"/>
    <w:rsid w:val="00E877F9"/>
    <w:rsid w:val="00EE641B"/>
    <w:rsid w:val="00F40956"/>
    <w:rsid w:val="00FD56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23ABD-AB34-4641-9D2A-B5006F3D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160" w:line="259"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Lijstalinea">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styleId="Geenafstand">
    <w:name w:val="No Spacing"/>
    <w:link w:val="GeenafstandChar"/>
    <w:uiPriority w:val="1"/>
    <w:qFormat/>
    <w:rsid w:val="00BF0777"/>
    <w:rPr>
      <w:rFonts w:ascii="Calibri" w:eastAsia="Calibri" w:hAnsi="Calibri" w:cs="Calibri"/>
      <w:color w:val="000000"/>
      <w:sz w:val="22"/>
      <w:szCs w:val="22"/>
      <w:u w:color="000000"/>
    </w:rPr>
  </w:style>
  <w:style w:type="paragraph" w:styleId="Ballontekst">
    <w:name w:val="Balloon Text"/>
    <w:basedOn w:val="Standaard"/>
    <w:link w:val="BallontekstChar"/>
    <w:uiPriority w:val="99"/>
    <w:semiHidden/>
    <w:unhideWhenUsed/>
    <w:rsid w:val="00860A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0A7F"/>
    <w:rPr>
      <w:rFonts w:ascii="Segoe UI" w:eastAsia="Calibri" w:hAnsi="Segoe UI" w:cs="Segoe UI"/>
      <w:color w:val="000000"/>
      <w:sz w:val="18"/>
      <w:szCs w:val="18"/>
      <w:u w:color="000000"/>
    </w:rPr>
  </w:style>
  <w:style w:type="character" w:customStyle="1" w:styleId="GeenafstandChar">
    <w:name w:val="Geen afstand Char"/>
    <w:basedOn w:val="Standaardalinea-lettertype"/>
    <w:link w:val="Geenafstand"/>
    <w:uiPriority w:val="1"/>
    <w:rsid w:val="00860A7F"/>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034806">
      <w:bodyDiv w:val="1"/>
      <w:marLeft w:val="0"/>
      <w:marRight w:val="0"/>
      <w:marTop w:val="0"/>
      <w:marBottom w:val="0"/>
      <w:divBdr>
        <w:top w:val="none" w:sz="0" w:space="0" w:color="auto"/>
        <w:left w:val="none" w:sz="0" w:space="0" w:color="auto"/>
        <w:bottom w:val="none" w:sz="0" w:space="0" w:color="auto"/>
        <w:right w:val="none" w:sz="0" w:space="0" w:color="auto"/>
      </w:divBdr>
    </w:div>
    <w:div w:id="769740998">
      <w:bodyDiv w:val="1"/>
      <w:marLeft w:val="0"/>
      <w:marRight w:val="0"/>
      <w:marTop w:val="0"/>
      <w:marBottom w:val="0"/>
      <w:divBdr>
        <w:top w:val="none" w:sz="0" w:space="0" w:color="auto"/>
        <w:left w:val="none" w:sz="0" w:space="0" w:color="auto"/>
        <w:bottom w:val="none" w:sz="0" w:space="0" w:color="auto"/>
        <w:right w:val="none" w:sz="0" w:space="0" w:color="auto"/>
      </w:divBdr>
      <w:divsChild>
        <w:div w:id="372586047">
          <w:marLeft w:val="126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2075</Words>
  <Characters>11413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Kwakkenbos, JFG (Joost)</dc:creator>
  <cp:lastModifiedBy>Hagen, MA (Mia)</cp:lastModifiedBy>
  <cp:revision>2</cp:revision>
  <cp:lastPrinted>2018-09-18T13:18:00Z</cp:lastPrinted>
  <dcterms:created xsi:type="dcterms:W3CDTF">2018-09-20T12:12:00Z</dcterms:created>
  <dcterms:modified xsi:type="dcterms:W3CDTF">2018-09-20T12:12:00Z</dcterms:modified>
</cp:coreProperties>
</file>