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F6E" w:rsidRDefault="007123CB">
      <w:pPr>
        <w:pStyle w:val="Kop1"/>
        <w:rPr>
          <w:lang w:val="nl-NL"/>
        </w:rPr>
      </w:pPr>
      <w:bookmarkStart w:id="0" w:name="_GoBack"/>
      <w:bookmarkEnd w:id="0"/>
      <w:r>
        <w:rPr>
          <w:lang w:val="nl-NL"/>
        </w:rPr>
        <w:t>Raadsmemo</w:t>
      </w:r>
    </w:p>
    <w:p w:rsidR="00B24F6E" w:rsidRDefault="00B24F6E"/>
    <w:p w:rsidR="00B24F6E" w:rsidRDefault="00B24F6E"/>
    <w:tbl>
      <w:tblPr>
        <w:tblStyle w:val="TableNormal"/>
        <w:tblW w:w="878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33"/>
        <w:gridCol w:w="285"/>
        <w:gridCol w:w="7369"/>
      </w:tblGrid>
      <w:tr w:rsidR="00B24F6E">
        <w:trPr>
          <w:trHeight w:val="453"/>
        </w:trPr>
        <w:tc>
          <w:tcPr>
            <w:tcW w:w="1133" w:type="dxa"/>
            <w:tcBorders>
              <w:top w:val="nil"/>
              <w:left w:val="nil"/>
              <w:bottom w:val="nil"/>
              <w:right w:val="nil"/>
            </w:tcBorders>
            <w:shd w:val="clear" w:color="auto" w:fill="FFFFFF"/>
            <w:tcMar>
              <w:top w:w="80" w:type="dxa"/>
              <w:left w:w="80" w:type="dxa"/>
              <w:bottom w:w="80" w:type="dxa"/>
              <w:right w:w="80" w:type="dxa"/>
            </w:tcMar>
          </w:tcPr>
          <w:p w:rsidR="00B24F6E" w:rsidRDefault="007123CB">
            <w:r>
              <w:t>Onderwerp</w:t>
            </w:r>
          </w:p>
        </w:tc>
        <w:tc>
          <w:tcPr>
            <w:tcW w:w="285"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7369" w:type="dxa"/>
            <w:tcBorders>
              <w:top w:val="nil"/>
              <w:left w:val="nil"/>
              <w:bottom w:val="nil"/>
              <w:right w:val="nil"/>
            </w:tcBorders>
            <w:shd w:val="clear" w:color="auto" w:fill="FFFFFF"/>
            <w:tcMar>
              <w:top w:w="80" w:type="dxa"/>
              <w:left w:w="80" w:type="dxa"/>
              <w:bottom w:w="80" w:type="dxa"/>
              <w:right w:w="80" w:type="dxa"/>
            </w:tcMar>
          </w:tcPr>
          <w:p w:rsidR="00B24F6E" w:rsidRDefault="007123CB">
            <w:r>
              <w:t>Regulering vuurwerkperiode Oud &amp; Nieuw</w:t>
            </w:r>
          </w:p>
        </w:tc>
      </w:tr>
      <w:tr w:rsidR="00B24F6E">
        <w:trPr>
          <w:trHeight w:val="233"/>
        </w:trPr>
        <w:tc>
          <w:tcPr>
            <w:tcW w:w="1133"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285"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7369" w:type="dxa"/>
            <w:tcBorders>
              <w:top w:val="nil"/>
              <w:left w:val="nil"/>
              <w:bottom w:val="nil"/>
              <w:right w:val="nil"/>
            </w:tcBorders>
            <w:shd w:val="clear" w:color="auto" w:fill="FFFFFF"/>
            <w:tcMar>
              <w:top w:w="80" w:type="dxa"/>
              <w:left w:w="80" w:type="dxa"/>
              <w:bottom w:w="80" w:type="dxa"/>
              <w:right w:w="80" w:type="dxa"/>
            </w:tcMar>
          </w:tcPr>
          <w:p w:rsidR="00B24F6E" w:rsidRDefault="00B24F6E"/>
        </w:tc>
      </w:tr>
      <w:tr w:rsidR="00B24F6E">
        <w:trPr>
          <w:trHeight w:val="233"/>
        </w:trPr>
        <w:tc>
          <w:tcPr>
            <w:tcW w:w="1133" w:type="dxa"/>
            <w:tcBorders>
              <w:top w:val="nil"/>
              <w:left w:val="nil"/>
              <w:bottom w:val="nil"/>
              <w:right w:val="nil"/>
            </w:tcBorders>
            <w:shd w:val="clear" w:color="auto" w:fill="FFFFFF"/>
            <w:tcMar>
              <w:top w:w="80" w:type="dxa"/>
              <w:left w:w="80" w:type="dxa"/>
              <w:bottom w:w="80" w:type="dxa"/>
              <w:right w:w="80" w:type="dxa"/>
            </w:tcMar>
          </w:tcPr>
          <w:p w:rsidR="00B24F6E" w:rsidRDefault="007123CB">
            <w:r>
              <w:t>Datum</w:t>
            </w:r>
          </w:p>
        </w:tc>
        <w:tc>
          <w:tcPr>
            <w:tcW w:w="285"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7369" w:type="dxa"/>
            <w:tcBorders>
              <w:top w:val="nil"/>
              <w:left w:val="nil"/>
              <w:bottom w:val="nil"/>
              <w:right w:val="nil"/>
            </w:tcBorders>
            <w:shd w:val="clear" w:color="auto" w:fill="FFFFFF"/>
            <w:tcMar>
              <w:top w:w="80" w:type="dxa"/>
              <w:left w:w="80" w:type="dxa"/>
              <w:bottom w:w="80" w:type="dxa"/>
              <w:right w:w="80" w:type="dxa"/>
            </w:tcMar>
          </w:tcPr>
          <w:p w:rsidR="00B24F6E" w:rsidRDefault="007123CB">
            <w:r>
              <w:t>22 oktober 2019</w:t>
            </w:r>
          </w:p>
        </w:tc>
      </w:tr>
      <w:tr w:rsidR="00B24F6E">
        <w:trPr>
          <w:trHeight w:val="233"/>
        </w:trPr>
        <w:tc>
          <w:tcPr>
            <w:tcW w:w="1133"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285"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7369" w:type="dxa"/>
            <w:tcBorders>
              <w:top w:val="nil"/>
              <w:left w:val="nil"/>
              <w:bottom w:val="nil"/>
              <w:right w:val="nil"/>
            </w:tcBorders>
            <w:shd w:val="clear" w:color="auto" w:fill="FFFFFF"/>
            <w:tcMar>
              <w:top w:w="80" w:type="dxa"/>
              <w:left w:w="80" w:type="dxa"/>
              <w:bottom w:w="80" w:type="dxa"/>
              <w:right w:w="80" w:type="dxa"/>
            </w:tcMar>
          </w:tcPr>
          <w:p w:rsidR="00B24F6E" w:rsidRDefault="00B24F6E"/>
        </w:tc>
      </w:tr>
      <w:tr w:rsidR="00B24F6E">
        <w:trPr>
          <w:trHeight w:val="233"/>
        </w:trPr>
        <w:tc>
          <w:tcPr>
            <w:tcW w:w="1133" w:type="dxa"/>
            <w:tcBorders>
              <w:top w:val="nil"/>
              <w:left w:val="nil"/>
              <w:bottom w:val="nil"/>
              <w:right w:val="nil"/>
            </w:tcBorders>
            <w:shd w:val="clear" w:color="auto" w:fill="FFFFFF"/>
            <w:tcMar>
              <w:top w:w="80" w:type="dxa"/>
              <w:left w:w="80" w:type="dxa"/>
              <w:bottom w:w="80" w:type="dxa"/>
              <w:right w:w="80" w:type="dxa"/>
            </w:tcMar>
          </w:tcPr>
          <w:p w:rsidR="00B24F6E" w:rsidRDefault="007123CB">
            <w:r>
              <w:t>Afzender</w:t>
            </w:r>
          </w:p>
        </w:tc>
        <w:tc>
          <w:tcPr>
            <w:tcW w:w="285"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7369" w:type="dxa"/>
            <w:tcBorders>
              <w:top w:val="nil"/>
              <w:left w:val="nil"/>
              <w:bottom w:val="nil"/>
              <w:right w:val="nil"/>
            </w:tcBorders>
            <w:shd w:val="clear" w:color="auto" w:fill="FFFFFF"/>
            <w:tcMar>
              <w:top w:w="80" w:type="dxa"/>
              <w:left w:w="80" w:type="dxa"/>
              <w:bottom w:w="80" w:type="dxa"/>
              <w:right w:w="80" w:type="dxa"/>
            </w:tcMar>
          </w:tcPr>
          <w:p w:rsidR="00B24F6E" w:rsidRDefault="007123CB">
            <w:r>
              <w:t>Burgemeester</w:t>
            </w:r>
          </w:p>
        </w:tc>
      </w:tr>
      <w:tr w:rsidR="00B24F6E">
        <w:trPr>
          <w:trHeight w:val="233"/>
        </w:trPr>
        <w:tc>
          <w:tcPr>
            <w:tcW w:w="1133"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285"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7369" w:type="dxa"/>
            <w:tcBorders>
              <w:top w:val="nil"/>
              <w:left w:val="nil"/>
              <w:bottom w:val="nil"/>
              <w:right w:val="nil"/>
            </w:tcBorders>
            <w:shd w:val="clear" w:color="auto" w:fill="FFFFFF"/>
            <w:tcMar>
              <w:top w:w="80" w:type="dxa"/>
              <w:left w:w="80" w:type="dxa"/>
              <w:bottom w:w="80" w:type="dxa"/>
              <w:right w:w="80" w:type="dxa"/>
            </w:tcMar>
          </w:tcPr>
          <w:p w:rsidR="00B24F6E" w:rsidRDefault="00B24F6E"/>
        </w:tc>
      </w:tr>
      <w:tr w:rsidR="00B24F6E">
        <w:trPr>
          <w:trHeight w:val="233"/>
        </w:trPr>
        <w:tc>
          <w:tcPr>
            <w:tcW w:w="1133" w:type="dxa"/>
            <w:tcBorders>
              <w:top w:val="nil"/>
              <w:left w:val="nil"/>
              <w:bottom w:val="nil"/>
              <w:right w:val="nil"/>
            </w:tcBorders>
            <w:shd w:val="clear" w:color="auto" w:fill="FFFFFF"/>
            <w:tcMar>
              <w:top w:w="80" w:type="dxa"/>
              <w:left w:w="80" w:type="dxa"/>
              <w:bottom w:w="80" w:type="dxa"/>
              <w:right w:w="80" w:type="dxa"/>
            </w:tcMar>
          </w:tcPr>
          <w:p w:rsidR="00B24F6E" w:rsidRDefault="007123CB">
            <w:r>
              <w:t>Tel.nr.</w:t>
            </w:r>
          </w:p>
        </w:tc>
        <w:tc>
          <w:tcPr>
            <w:tcW w:w="285"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7369" w:type="dxa"/>
            <w:tcBorders>
              <w:top w:val="nil"/>
              <w:left w:val="nil"/>
              <w:bottom w:val="nil"/>
              <w:right w:val="nil"/>
            </w:tcBorders>
            <w:shd w:val="clear" w:color="auto" w:fill="FFFFFF"/>
            <w:tcMar>
              <w:top w:w="80" w:type="dxa"/>
              <w:left w:w="80" w:type="dxa"/>
              <w:bottom w:w="80" w:type="dxa"/>
              <w:right w:w="80" w:type="dxa"/>
            </w:tcMar>
          </w:tcPr>
          <w:p w:rsidR="00B24F6E" w:rsidRDefault="007123CB">
            <w:r>
              <w:t>(078) 770 6001</w:t>
            </w:r>
          </w:p>
        </w:tc>
      </w:tr>
      <w:tr w:rsidR="00B24F6E">
        <w:trPr>
          <w:trHeight w:val="233"/>
        </w:trPr>
        <w:tc>
          <w:tcPr>
            <w:tcW w:w="1133"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285"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7369" w:type="dxa"/>
            <w:tcBorders>
              <w:top w:val="nil"/>
              <w:left w:val="nil"/>
              <w:bottom w:val="nil"/>
              <w:right w:val="nil"/>
            </w:tcBorders>
            <w:shd w:val="clear" w:color="auto" w:fill="FFFFFF"/>
            <w:tcMar>
              <w:top w:w="80" w:type="dxa"/>
              <w:left w:w="80" w:type="dxa"/>
              <w:bottom w:w="80" w:type="dxa"/>
              <w:right w:w="80" w:type="dxa"/>
            </w:tcMar>
          </w:tcPr>
          <w:p w:rsidR="00B24F6E" w:rsidRDefault="00B24F6E"/>
        </w:tc>
      </w:tr>
      <w:tr w:rsidR="00B24F6E">
        <w:trPr>
          <w:trHeight w:val="453"/>
        </w:trPr>
        <w:tc>
          <w:tcPr>
            <w:tcW w:w="1133" w:type="dxa"/>
            <w:tcBorders>
              <w:top w:val="nil"/>
              <w:left w:val="nil"/>
              <w:bottom w:val="nil"/>
              <w:right w:val="nil"/>
            </w:tcBorders>
            <w:shd w:val="clear" w:color="auto" w:fill="FFFFFF"/>
            <w:tcMar>
              <w:top w:w="80" w:type="dxa"/>
              <w:left w:w="80" w:type="dxa"/>
              <w:bottom w:w="80" w:type="dxa"/>
              <w:right w:w="80" w:type="dxa"/>
            </w:tcMar>
          </w:tcPr>
          <w:p w:rsidR="00B24F6E" w:rsidRDefault="007123CB">
            <w:r>
              <w:t>Emailadres</w:t>
            </w:r>
          </w:p>
        </w:tc>
        <w:tc>
          <w:tcPr>
            <w:tcW w:w="285" w:type="dxa"/>
            <w:tcBorders>
              <w:top w:val="nil"/>
              <w:left w:val="nil"/>
              <w:bottom w:val="nil"/>
              <w:right w:val="nil"/>
            </w:tcBorders>
            <w:shd w:val="clear" w:color="auto" w:fill="FFFFFF"/>
            <w:tcMar>
              <w:top w:w="80" w:type="dxa"/>
              <w:left w:w="80" w:type="dxa"/>
              <w:bottom w:w="80" w:type="dxa"/>
              <w:right w:w="80" w:type="dxa"/>
            </w:tcMar>
          </w:tcPr>
          <w:p w:rsidR="00B24F6E" w:rsidRDefault="00B24F6E"/>
        </w:tc>
        <w:tc>
          <w:tcPr>
            <w:tcW w:w="7369" w:type="dxa"/>
            <w:tcBorders>
              <w:top w:val="nil"/>
              <w:left w:val="nil"/>
              <w:bottom w:val="nil"/>
              <w:right w:val="nil"/>
            </w:tcBorders>
            <w:shd w:val="clear" w:color="auto" w:fill="FFFFFF"/>
            <w:tcMar>
              <w:top w:w="80" w:type="dxa"/>
              <w:left w:w="80" w:type="dxa"/>
              <w:bottom w:w="80" w:type="dxa"/>
              <w:right w:w="80" w:type="dxa"/>
            </w:tcMar>
          </w:tcPr>
          <w:p w:rsidR="00B24F6E" w:rsidRDefault="00C1560A">
            <w:hyperlink r:id="rId7" w:history="1">
              <w:r w:rsidR="007123CB">
                <w:rPr>
                  <w:rStyle w:val="Hyperlink0"/>
                </w:rPr>
                <w:t>bestuurssecretariaat@alblasserdam.nl</w:t>
              </w:r>
            </w:hyperlink>
          </w:p>
        </w:tc>
      </w:tr>
    </w:tbl>
    <w:p w:rsidR="00B24F6E" w:rsidRDefault="00B24F6E">
      <w:pPr>
        <w:widowControl w:val="0"/>
        <w:ind w:left="2" w:hanging="2"/>
      </w:pPr>
    </w:p>
    <w:p w:rsidR="00B24F6E" w:rsidRDefault="00B24F6E">
      <w:pPr>
        <w:widowControl w:val="0"/>
      </w:pPr>
    </w:p>
    <w:p w:rsidR="00B24F6E" w:rsidRDefault="00B24F6E"/>
    <w:p w:rsidR="00B24F6E" w:rsidRDefault="00B24F6E"/>
    <w:p w:rsidR="00B24F6E" w:rsidRDefault="00B24F6E"/>
    <w:p w:rsidR="00B24F6E" w:rsidRDefault="007123CB">
      <w:r>
        <w:rPr>
          <w:rFonts w:eastAsia="Arial Unicode MS" w:cs="Arial Unicode MS"/>
        </w:rPr>
        <w:t>Geachte raad,</w:t>
      </w:r>
    </w:p>
    <w:p w:rsidR="00B24F6E" w:rsidRDefault="00B24F6E"/>
    <w:p w:rsidR="00B24F6E" w:rsidRDefault="007123CB">
      <w:r>
        <w:rPr>
          <w:rFonts w:eastAsia="Arial Unicode MS" w:cs="Arial Unicode MS"/>
        </w:rPr>
        <w:t xml:space="preserve">Bijgevoegd stuk wordt u ter kennisname toegezonden. </w:t>
      </w:r>
    </w:p>
    <w:p w:rsidR="00B24F6E" w:rsidRDefault="007123CB">
      <w:r>
        <w:rPr>
          <w:rFonts w:eastAsia="Arial Unicode MS" w:cs="Arial Unicode MS"/>
        </w:rPr>
        <w:t xml:space="preserve">Het betreft informatie waarvan het nuttig gevonden wordt dat u ervan op de hoogte bent, dan wel de toezending van een door het college of een lid van het college in commissie of raad toegezegd stuk. </w:t>
      </w:r>
    </w:p>
    <w:p w:rsidR="00B24F6E" w:rsidRDefault="00B24F6E"/>
    <w:p w:rsidR="00B24F6E" w:rsidRDefault="007123CB">
      <w:r>
        <w:rPr>
          <w:rFonts w:eastAsia="Arial Unicode MS" w:cs="Arial Unicode MS"/>
        </w:rPr>
        <w:t>In tegenstelling tot het verstrekken van informatie via een raadsinformatiebrief is de raadsmemo niet vooraf in het college besproken en vastgesteld.</w:t>
      </w:r>
    </w:p>
    <w:p w:rsidR="00B24F6E" w:rsidRDefault="00B24F6E"/>
    <w:p w:rsidR="00B24F6E" w:rsidRDefault="007123CB">
      <w:r>
        <w:rPr>
          <w:rFonts w:eastAsia="Arial Unicode MS" w:cs="Arial Unicode MS"/>
        </w:rPr>
        <w:t>Met het presidium is afgesproken dat informatie verstrekt via een raadsmemo wel als ingekomen stuk wordt geregistreerd, maar niet geagendeerd wordt voor een commissie- of raadsvergadering, tenzij een lid van een commissie of de raad hier via de griffier om verzoekt.</w:t>
      </w:r>
    </w:p>
    <w:p w:rsidR="00B24F6E" w:rsidRDefault="00B24F6E"/>
    <w:p w:rsidR="00B24F6E" w:rsidRDefault="007123CB">
      <w:r>
        <w:rPr>
          <w:rFonts w:eastAsia="Arial Unicode MS" w:cs="Arial Unicode MS"/>
        </w:rPr>
        <w:t>Voor zover van belang treft u nog de volgende korte toelichting plus notitie aan.</w:t>
      </w:r>
    </w:p>
    <w:p w:rsidR="00B24F6E" w:rsidRDefault="00B24F6E"/>
    <w:p w:rsidR="00B24F6E" w:rsidRDefault="007123CB">
      <w:pPr>
        <w:rPr>
          <w:rStyle w:val="Geen"/>
          <w:b/>
          <w:bCs/>
          <w:i/>
          <w:iCs/>
        </w:rPr>
      </w:pPr>
      <w:r>
        <w:rPr>
          <w:rStyle w:val="Geen"/>
          <w:rFonts w:eastAsia="Arial Unicode MS" w:cs="Arial Unicode MS"/>
          <w:b/>
          <w:bCs/>
          <w:i/>
          <w:iCs/>
        </w:rPr>
        <w:t>Aanleiding:</w:t>
      </w:r>
    </w:p>
    <w:p w:rsidR="00B24F6E" w:rsidRDefault="007123CB">
      <w:r>
        <w:rPr>
          <w:rFonts w:eastAsia="Arial Unicode MS" w:cs="Arial Unicode MS"/>
        </w:rPr>
        <w:t>Na de jaarwisseling 2017/2018 heeft de fractie van de SGP gevraagd naar de bereidheid van de burgemeester om voorstellen voor te leggen voor het aanwijzen van vuurwerkvrije zones in Alblasserdam. In het najaar van 2018 is die oproep gevolgd door een BIO voor de raad over de voors en tegens van beperkende maatregelen rondom de legale vuurwerkperiode rond de oudejaarsnacht 31/12 op 01/01 van 18.00 tot 02.00 uur. Benadrukt wordt dat het zonder provinciale vergunning afsteken van consumenten en professioneel vuurwerk buiten deze bloktijden verboden is, behoudens het kindervuurwerk uit categorie 1, verkrijgbaar bij o.a. speelgoedzáken.</w:t>
      </w:r>
    </w:p>
    <w:p w:rsidR="00B24F6E" w:rsidRDefault="007123CB">
      <w:r>
        <w:rPr>
          <w:rFonts w:eastAsia="Arial Unicode MS" w:cs="Arial Unicode MS"/>
        </w:rPr>
        <w:t>De burgemeester heeft tijdens en naar aanleiding van de BIO geconstateerd dat naast de SGP geen andere voorstanders zich hebben gemeld voor beperkingen ten aanzien van de legale vuurwerkperiode.</w:t>
      </w:r>
    </w:p>
    <w:p w:rsidR="00B24F6E" w:rsidRDefault="007123CB">
      <w:r>
        <w:rPr>
          <w:rFonts w:eastAsia="Arial Unicode MS" w:cs="Arial Unicode MS"/>
        </w:rPr>
        <w:t xml:space="preserve">De jaarwisseling 2018/2019 is in Alblasserdam overwegend goed verlopen. Toch was er her en der schade, in kosten iets meer dan in voorgaande jaren. Én werd het maatschappelijk debat opnieuw aangezwengeld door de toename van het afsteken van duidelijk waarneembaar zwaar (illegaal) vuurwerk. Verder was er op twee plekken in Alblasserdam sprake van moedwillige vernielingen van andermans particuliere of publieke eigendommen: een woonstraat in de wijk Kinderdijk en een verblijfplek voor jongeren in de wijk Souburgh. Landelijk werd onverminderd duidelijk dat het aantal slachtoffers van vuurwerk én de massaal benodigde inzet van (vaak belaagde) hulpverleners de grenzen te buiten gaat. Een luidde roep om een landelijk vuurwerkverbod aan het Kabinet van tientallen instanties was het resultaat. Gevolgd door een hernieuwde vraag van de lokale SGP fractie om in lijn met de landelijke discussie ook in Alblasserdam maatregelen te treffen. Daarbij de proef van Rotterdam als voorbeeld nemend om met uitzondering van vuurwerkzones het afsteken van vuurwerk buiten die zones te verbieden. </w:t>
      </w:r>
    </w:p>
    <w:p w:rsidR="00B24F6E" w:rsidRDefault="007123CB">
      <w:r>
        <w:rPr>
          <w:rFonts w:eastAsia="Arial Unicode MS" w:cs="Arial Unicode MS"/>
        </w:rPr>
        <w:t>De burgemeester heeft in zijn eigen verantwoordelijkheid voor Openbare Orde en Veiligheid toegezegd aan de SGP fractie een maatschappelijk gesprek te organiseren waarin voor- en tegenstanders van de vuurwerktraditie met elkaar om tafel worden gebracht.</w:t>
      </w:r>
    </w:p>
    <w:p w:rsidR="00B24F6E" w:rsidRDefault="00B24F6E"/>
    <w:p w:rsidR="00B24F6E" w:rsidRDefault="007123CB">
      <w:pPr>
        <w:rPr>
          <w:rStyle w:val="Geen"/>
          <w:b/>
          <w:bCs/>
          <w:i/>
          <w:iCs/>
        </w:rPr>
      </w:pPr>
      <w:r>
        <w:rPr>
          <w:rStyle w:val="Geen"/>
          <w:rFonts w:eastAsia="Arial Unicode MS" w:cs="Arial Unicode MS"/>
          <w:b/>
          <w:bCs/>
          <w:i/>
          <w:iCs/>
        </w:rPr>
        <w:t>Rondetafelgesprek:</w:t>
      </w:r>
    </w:p>
    <w:p w:rsidR="00B24F6E" w:rsidRDefault="007123CB">
      <w:r>
        <w:rPr>
          <w:rFonts w:eastAsia="Arial Unicode MS" w:cs="Arial Unicode MS"/>
        </w:rPr>
        <w:t>Dit Rondetafelgesprek heeft in de zomerperiode, op 27 mei 2019 plaatsgevonden in de vergaderruimte van Le Barrage. Genodigd waren allen die zich positief of negatief over een vuurwerkverbod of anderszins rondom het afsteken van vuurwerk rond de jaarwisseling 2018/2019 in Alblasserdam hebben uitgelaten. In totaal een kleine dertig personen, onder wie enkele raadsleden.</w:t>
      </w:r>
    </w:p>
    <w:p w:rsidR="00B24F6E" w:rsidRDefault="007123CB">
      <w:r>
        <w:rPr>
          <w:rFonts w:eastAsia="Arial Unicode MS" w:cs="Arial Unicode MS"/>
        </w:rPr>
        <w:t>Uiteindelijk hebben 10 mensen gebruik gemaakt van de uitnodiging om met de burgemeester, de medewerker Zorg en Veiligheid en de Communicatie-adviseur van gedachten te wisselen.</w:t>
      </w:r>
    </w:p>
    <w:p w:rsidR="00B24F6E" w:rsidRDefault="00B24F6E"/>
    <w:p w:rsidR="00B24F6E" w:rsidRDefault="007123CB">
      <w:r>
        <w:rPr>
          <w:rFonts w:eastAsia="Arial Unicode MS" w:cs="Arial Unicode MS"/>
        </w:rPr>
        <w:t>Na een ronde met kennismaken en het uitwisselen van persoonlijke standpunten en voorkeuren werd snel duidelijk dat allen het over een aantal zaken eens zijn:</w:t>
      </w:r>
    </w:p>
    <w:p w:rsidR="00B24F6E" w:rsidRDefault="007123CB">
      <w:pPr>
        <w:numPr>
          <w:ilvl w:val="0"/>
          <w:numId w:val="2"/>
        </w:numPr>
      </w:pPr>
      <w:r>
        <w:t>de vuurwerktraditie met Oud en Nieuw wordt door velen in Alblasserdam nog steeds gekoesterd;</w:t>
      </w:r>
    </w:p>
    <w:p w:rsidR="00B24F6E" w:rsidRDefault="007123CB">
      <w:pPr>
        <w:numPr>
          <w:ilvl w:val="0"/>
          <w:numId w:val="2"/>
        </w:numPr>
      </w:pPr>
      <w:r>
        <w:t xml:space="preserve">er is gelukkig geen traditie van letsel en bovengemiddelde schade, sterker: al enige jaren is de schade fors lager dan in voorbije decennia; </w:t>
      </w:r>
    </w:p>
    <w:p w:rsidR="00B24F6E" w:rsidRDefault="007123CB">
      <w:pPr>
        <w:numPr>
          <w:ilvl w:val="0"/>
          <w:numId w:val="2"/>
        </w:numPr>
      </w:pPr>
      <w:r>
        <w:t>het aantal overlastmeldingen en aangiften is heel beperkt;</w:t>
      </w:r>
    </w:p>
    <w:p w:rsidR="00B24F6E" w:rsidRDefault="007123CB">
      <w:pPr>
        <w:numPr>
          <w:ilvl w:val="0"/>
          <w:numId w:val="2"/>
        </w:numPr>
      </w:pPr>
      <w:r>
        <w:t>het aantal ontploffingen door (vermeend) illegaal zwaar vuurwerk is fors toegenomen;</w:t>
      </w:r>
    </w:p>
    <w:p w:rsidR="00B24F6E" w:rsidRDefault="007123CB">
      <w:pPr>
        <w:numPr>
          <w:ilvl w:val="0"/>
          <w:numId w:val="2"/>
        </w:numPr>
      </w:pPr>
      <w:r>
        <w:t>De maatschappelijke discussie vraagt ook in Alblasserdam om een passend Alblasserdams antwoord. Wegkijken kan niet, voorkomen moet worden dat een dialoog zich ontwikkelt naar een conflict en polariseert tussen voor en tegenstanders.</w:t>
      </w:r>
    </w:p>
    <w:p w:rsidR="00B24F6E" w:rsidRDefault="00B24F6E"/>
    <w:p w:rsidR="00B24F6E" w:rsidRDefault="007123CB">
      <w:r>
        <w:rPr>
          <w:rFonts w:eastAsia="Arial Unicode MS" w:cs="Arial Unicode MS"/>
        </w:rPr>
        <w:t>Tegelijk leverde de uitwisseling van kennis, invalshoeken en standpunten wel een aantal gedeelde inzichten op:</w:t>
      </w:r>
    </w:p>
    <w:p w:rsidR="00B24F6E" w:rsidRDefault="007123CB">
      <w:pPr>
        <w:pStyle w:val="Lijstalinea"/>
        <w:numPr>
          <w:ilvl w:val="0"/>
          <w:numId w:val="4"/>
        </w:numPr>
      </w:pPr>
      <w:r>
        <w:t>de actuele staat van het (Nationale) debat richt zich op verbieden en beperken;</w:t>
      </w:r>
    </w:p>
    <w:p w:rsidR="00B24F6E" w:rsidRDefault="007123CB">
      <w:pPr>
        <w:pStyle w:val="Lijstalinea"/>
        <w:numPr>
          <w:ilvl w:val="0"/>
          <w:numId w:val="4"/>
        </w:numPr>
      </w:pPr>
      <w:r>
        <w:t>de periode waar het over gaat beslaat slechts 8 uur: van 18.00 tot 02.00 uur in de oudejaarsnacht: de legale vuurwerkperiode;</w:t>
      </w:r>
    </w:p>
    <w:p w:rsidR="00B24F6E" w:rsidRDefault="007123CB">
      <w:pPr>
        <w:pStyle w:val="Lijstalinea"/>
        <w:numPr>
          <w:ilvl w:val="0"/>
          <w:numId w:val="4"/>
        </w:numPr>
      </w:pPr>
      <w:r>
        <w:t>een motiverende aanpak zal beter werken dan verbodsbepalingen en inperkingen;</w:t>
      </w:r>
    </w:p>
    <w:p w:rsidR="00B24F6E" w:rsidRDefault="007123CB">
      <w:pPr>
        <w:pStyle w:val="Lijstalinea"/>
        <w:numPr>
          <w:ilvl w:val="0"/>
          <w:numId w:val="4"/>
        </w:numPr>
      </w:pPr>
      <w:r>
        <w:t>een breder pakket aan maatregelen gericht op voorlichting, bewustwording, preventie, proactie en medeverantwoordelijkheid nemen voor een veilige en feestelijke vuurwerkperiode heeft meer kans van slagen dan een vuurwerkverbod en/of het zonder draagvlak aanwijzen van vuurwerkvrije zones.</w:t>
      </w:r>
    </w:p>
    <w:p w:rsidR="00B24F6E" w:rsidRDefault="00B24F6E"/>
    <w:p w:rsidR="00B24F6E" w:rsidRDefault="007123CB">
      <w:r>
        <w:rPr>
          <w:rFonts w:eastAsia="Arial Unicode MS" w:cs="Arial Unicode MS"/>
        </w:rPr>
        <w:t>Conclusie van de avond was: er is aanleiding voor de gemeente om in actie te komen. Er is aanleiding voor een positieve campagne over de legale vuurwerkperiode.</w:t>
      </w:r>
    </w:p>
    <w:p w:rsidR="00B24F6E" w:rsidRDefault="00B24F6E"/>
    <w:p w:rsidR="00B24F6E" w:rsidRDefault="007123CB">
      <w:pPr>
        <w:rPr>
          <w:rStyle w:val="Geen"/>
          <w:b/>
          <w:bCs/>
          <w:i/>
          <w:iCs/>
        </w:rPr>
      </w:pPr>
      <w:r>
        <w:rPr>
          <w:rStyle w:val="Geen"/>
          <w:rFonts w:eastAsia="Arial Unicode MS" w:cs="Arial Unicode MS"/>
          <w:b/>
          <w:bCs/>
          <w:i/>
          <w:iCs/>
        </w:rPr>
        <w:t>Voorgenomen acties:</w:t>
      </w:r>
    </w:p>
    <w:p w:rsidR="00B24F6E" w:rsidRDefault="007123CB">
      <w:r>
        <w:rPr>
          <w:rFonts w:eastAsia="Arial Unicode MS" w:cs="Arial Unicode MS"/>
        </w:rPr>
        <w:t>De burgemeester heeft naar aanleiding van voornoemd gesprek en zijn eerdere toezeggingen aan de SGP fractie het voornemen om de volgende voorgenomen acties in een samenhangende aanpak in de komende twee weken aan de bij effectieve realisatie betrokken partners voor te leggen:</w:t>
      </w:r>
    </w:p>
    <w:p w:rsidR="00B24F6E" w:rsidRDefault="00B24F6E"/>
    <w:p w:rsidR="00B24F6E" w:rsidRDefault="007123CB">
      <w:pPr>
        <w:numPr>
          <w:ilvl w:val="0"/>
          <w:numId w:val="6"/>
        </w:numPr>
      </w:pPr>
      <w:r>
        <w:t>Intensivering voorlichting aan jonge scholieren van de basisscholen</w:t>
      </w:r>
    </w:p>
    <w:p w:rsidR="00B24F6E" w:rsidRDefault="007123CB">
      <w:pPr>
        <w:numPr>
          <w:ilvl w:val="0"/>
          <w:numId w:val="6"/>
        </w:numPr>
      </w:pPr>
      <w:r>
        <w:t>Beschikbaar stellen van vuurwerkbrillen aan de leerlingen van groep 8 van onze basisscholen</w:t>
      </w:r>
    </w:p>
    <w:p w:rsidR="00B24F6E" w:rsidRDefault="007123CB">
      <w:pPr>
        <w:numPr>
          <w:ilvl w:val="0"/>
          <w:numId w:val="6"/>
        </w:numPr>
      </w:pPr>
      <w:r>
        <w:t>Aanwijzen van drie vuurwerkarme zones rondom de twee manages en de kinderboerderij</w:t>
      </w:r>
    </w:p>
    <w:p w:rsidR="00B24F6E" w:rsidRDefault="007123CB">
      <w:pPr>
        <w:numPr>
          <w:ilvl w:val="0"/>
          <w:numId w:val="6"/>
        </w:numPr>
      </w:pPr>
      <w:r>
        <w:t xml:space="preserve">Instellen kindvriendelijk vuurwerkuur van 18.00 tot 19.00 uur op enkele daartoe aangewezen plekken </w:t>
      </w:r>
    </w:p>
    <w:p w:rsidR="00B24F6E" w:rsidRDefault="007123CB">
      <w:pPr>
        <w:numPr>
          <w:ilvl w:val="0"/>
          <w:numId w:val="6"/>
        </w:numPr>
      </w:pPr>
      <w:r>
        <w:t>Aanwijzen diervriendelijk, vuurwerkarm blokuur van 22.00 tot 23.00 uur op de Oudjaarsavond</w:t>
      </w:r>
    </w:p>
    <w:p w:rsidR="00B24F6E" w:rsidRDefault="007123CB">
      <w:pPr>
        <w:numPr>
          <w:ilvl w:val="0"/>
          <w:numId w:val="6"/>
        </w:numPr>
      </w:pPr>
      <w:r>
        <w:t xml:space="preserve">Aanwijzen van één carbid afschiet locatie </w:t>
      </w:r>
    </w:p>
    <w:p w:rsidR="00B24F6E" w:rsidRDefault="007123CB">
      <w:pPr>
        <w:numPr>
          <w:ilvl w:val="0"/>
          <w:numId w:val="6"/>
        </w:numPr>
      </w:pPr>
      <w:r>
        <w:t>Aanwijzen van drie zero tolerance zones, waarover gericht gecommuniceerd gaat worden met gebruikers en belanghebbenden</w:t>
      </w:r>
    </w:p>
    <w:p w:rsidR="00B24F6E" w:rsidRDefault="007123CB">
      <w:r>
        <w:rPr>
          <w:rFonts w:eastAsia="Arial Unicode MS" w:cs="Arial Unicode MS"/>
        </w:rPr>
        <w:t>8. Continueren van de vuurwerk opruim- en inleveractie</w:t>
      </w:r>
    </w:p>
    <w:p w:rsidR="00B24F6E" w:rsidRDefault="00B24F6E"/>
    <w:p w:rsidR="00B24F6E" w:rsidRDefault="00B24F6E"/>
    <w:p w:rsidR="00B24F6E" w:rsidRDefault="00B24F6E"/>
    <w:p w:rsidR="00B24F6E" w:rsidRDefault="00B24F6E"/>
    <w:p w:rsidR="00B24F6E" w:rsidRDefault="00B24F6E"/>
    <w:p w:rsidR="00B24F6E" w:rsidRDefault="00B24F6E"/>
    <w:p w:rsidR="00B24F6E" w:rsidRDefault="00B24F6E"/>
    <w:p w:rsidR="00B24F6E" w:rsidRDefault="00B24F6E"/>
    <w:sectPr w:rsidR="00B24F6E">
      <w:headerReference w:type="default" r:id="rId8"/>
      <w:footerReference w:type="default" r:id="rId9"/>
      <w:pgSz w:w="11900" w:h="16840"/>
      <w:pgMar w:top="1531" w:right="1701"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442" w:rsidRDefault="007123CB">
      <w:r>
        <w:separator/>
      </w:r>
    </w:p>
  </w:endnote>
  <w:endnote w:type="continuationSeparator" w:id="0">
    <w:p w:rsidR="00017442" w:rsidRDefault="0071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6E" w:rsidRDefault="007123CB">
    <w:pPr>
      <w:pStyle w:val="Voettekst"/>
      <w:tabs>
        <w:tab w:val="clear" w:pos="9072"/>
        <w:tab w:val="right" w:pos="8761"/>
      </w:tabs>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442" w:rsidRDefault="007123CB">
      <w:r>
        <w:separator/>
      </w:r>
    </w:p>
  </w:footnote>
  <w:footnote w:type="continuationSeparator" w:id="0">
    <w:p w:rsidR="00017442" w:rsidRDefault="00712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6E" w:rsidRDefault="007123CB">
    <w:pPr>
      <w:pStyle w:val="Koptekst"/>
      <w:tabs>
        <w:tab w:val="clear" w:pos="9072"/>
        <w:tab w:val="right" w:pos="8761"/>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362267</wp:posOffset>
              </wp:positionH>
              <wp:positionV relativeFrom="page">
                <wp:posOffset>4777104</wp:posOffset>
              </wp:positionV>
              <wp:extent cx="6656069" cy="1209675"/>
              <wp:effectExtent l="-547074" t="2176123" r="-547074" b="2176123"/>
              <wp:wrapNone/>
              <wp:docPr id="1073741825" name="officeArt object"/>
              <wp:cNvGraphicFramePr/>
              <a:graphic xmlns:a="http://schemas.openxmlformats.org/drawingml/2006/main">
                <a:graphicData uri="http://schemas.microsoft.com/office/word/2010/wordprocessingShape">
                  <wps:wsp>
                    <wps:cNvSpPr/>
                    <wps:spPr>
                      <a:xfrm rot="18900000">
                        <a:off x="0" y="0"/>
                        <a:ext cx="6656069" cy="1209675"/>
                      </a:xfrm>
                      <a:prstGeom prst="rect">
                        <a:avLst/>
                      </a:prstGeom>
                      <a:noFill/>
                      <a:ln w="12700" cap="flat">
                        <a:noFill/>
                        <a:miter lim="400000"/>
                      </a:ln>
                      <a:effectLst/>
                    </wps:spPr>
                    <wps:txbx>
                      <w:txbxContent>
                        <w:p w:rsidR="00B24F6E" w:rsidRDefault="007123CB">
                          <w:pPr>
                            <w:pStyle w:val="Bijschrift"/>
                            <w:tabs>
                              <w:tab w:val="left" w:pos="1440"/>
                              <w:tab w:val="left" w:pos="2880"/>
                              <w:tab w:val="left" w:pos="4320"/>
                              <w:tab w:val="left" w:pos="5760"/>
                              <w:tab w:val="left" w:pos="7200"/>
                              <w:tab w:val="left" w:pos="8640"/>
                              <w:tab w:val="left" w:pos="10080"/>
                            </w:tabs>
                          </w:pPr>
                          <w:r>
                            <w:rPr>
                              <w:rFonts w:ascii="Arial" w:hAnsi="Arial"/>
                              <w:color w:val="C0C0C0"/>
                              <w:sz w:val="190"/>
                              <w:szCs w:val="190"/>
                              <w:u w:color="C0C0C0"/>
                            </w:rPr>
                            <w:t>CONCEPT II</w:t>
                          </w:r>
                        </w:p>
                      </w:txbxContent>
                    </wps:txbx>
                    <wps:bodyPr wrap="square" lIns="0" tIns="0" rIns="0" bIns="0" numCol="1" anchor="ctr">
                      <a:normAutofit/>
                    </wps:bodyPr>
                  </wps:wsp>
                </a:graphicData>
              </a:graphic>
            </wp:anchor>
          </w:drawing>
        </mc:Choice>
        <mc:Fallback>
          <w:pict>
            <v:rect id="_x0000_s1026" style="visibility:visible;position:absolute;margin-left:28.5pt;margin-top:376.1pt;width:524.1pt;height:95.2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 w:val="left" w:pos="10080"/>
                      </w:tabs>
                    </w:pPr>
                    <w:r>
                      <w:rPr>
                        <w:rFonts w:ascii="Arial" w:hAnsi="Arial"/>
                        <w:color w:val="c0c0c0"/>
                        <w:sz w:val="190"/>
                        <w:szCs w:val="190"/>
                        <w:u w:color="c0c0c0"/>
                        <w:rtl w:val="0"/>
                        <w:lang w:val="nl-NL"/>
                      </w:rPr>
                      <w:t>CONCEPT II</w:t>
                    </w:r>
                  </w:p>
                </w:txbxContent>
              </v:textbox>
              <w10:wrap type="none" side="bothSides"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2524"/>
    <w:multiLevelType w:val="hybridMultilevel"/>
    <w:tmpl w:val="EDD2191C"/>
    <w:numStyleLink w:val="Lijst1"/>
  </w:abstractNum>
  <w:abstractNum w:abstractNumId="1" w15:restartNumberingAfterBreak="0">
    <w:nsid w:val="19F73E08"/>
    <w:multiLevelType w:val="hybridMultilevel"/>
    <w:tmpl w:val="27B0FA3E"/>
    <w:numStyleLink w:val="Genummerd"/>
  </w:abstractNum>
  <w:abstractNum w:abstractNumId="2" w15:restartNumberingAfterBreak="0">
    <w:nsid w:val="392F0B1D"/>
    <w:multiLevelType w:val="hybridMultilevel"/>
    <w:tmpl w:val="FE301300"/>
    <w:styleLink w:val="Gemporteerdestijl1"/>
    <w:lvl w:ilvl="0" w:tplc="65784AEE">
      <w:start w:val="1"/>
      <w:numFmt w:val="bullet"/>
      <w:lvlText w:val="-"/>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346CA2">
      <w:start w:val="1"/>
      <w:numFmt w:val="bullet"/>
      <w:lvlText w:val="o"/>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014EBC6">
      <w:start w:val="1"/>
      <w:numFmt w:val="bullet"/>
      <w:lvlText w:val="▪"/>
      <w:lvlJc w:val="left"/>
      <w:pPr>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B3EE022">
      <w:start w:val="1"/>
      <w:numFmt w:val="bullet"/>
      <w:lvlText w:val="•"/>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EC863A4">
      <w:start w:val="1"/>
      <w:numFmt w:val="bullet"/>
      <w:lvlText w:val="o"/>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8ACD2C8">
      <w:start w:val="1"/>
      <w:numFmt w:val="bullet"/>
      <w:lvlText w:val="▪"/>
      <w:lvlJc w:val="left"/>
      <w:pPr>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8CA1178">
      <w:start w:val="1"/>
      <w:numFmt w:val="bullet"/>
      <w:lvlText w:val="•"/>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EB8F7CE">
      <w:start w:val="1"/>
      <w:numFmt w:val="bullet"/>
      <w:lvlText w:val="o"/>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B4649F8">
      <w:start w:val="1"/>
      <w:numFmt w:val="bullet"/>
      <w:lvlText w:val="▪"/>
      <w:lvlJc w:val="left"/>
      <w:pPr>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B3416BD"/>
    <w:multiLevelType w:val="hybridMultilevel"/>
    <w:tmpl w:val="27B0FA3E"/>
    <w:styleLink w:val="Genummerd"/>
    <w:lvl w:ilvl="0" w:tplc="B8460564">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2F5096C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60B4654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B7BC392E">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EB9ED1E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13121394">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89AC13A6">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363606F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A446B842">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BF159A2"/>
    <w:multiLevelType w:val="hybridMultilevel"/>
    <w:tmpl w:val="FE301300"/>
    <w:numStyleLink w:val="Gemporteerdestijl1"/>
  </w:abstractNum>
  <w:abstractNum w:abstractNumId="5" w15:restartNumberingAfterBreak="0">
    <w:nsid w:val="784004DB"/>
    <w:multiLevelType w:val="hybridMultilevel"/>
    <w:tmpl w:val="EDD2191C"/>
    <w:styleLink w:val="Lijst1"/>
    <w:lvl w:ilvl="0" w:tplc="CF244028">
      <w:start w:val="1"/>
      <w:numFmt w:val="bullet"/>
      <w:lvlText w:val="-"/>
      <w:lvlJc w:val="left"/>
      <w:pPr>
        <w:ind w:left="1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560926A">
      <w:start w:val="1"/>
      <w:numFmt w:val="bullet"/>
      <w:lvlText w:val="-"/>
      <w:lvlJc w:val="left"/>
      <w:pPr>
        <w:ind w:left="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40ADFE2">
      <w:start w:val="1"/>
      <w:numFmt w:val="bullet"/>
      <w:lvlText w:val="-"/>
      <w:lvlJc w:val="left"/>
      <w:pPr>
        <w:ind w:left="13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AD20AF4">
      <w:start w:val="1"/>
      <w:numFmt w:val="bullet"/>
      <w:lvlText w:val="-"/>
      <w:lvlJc w:val="left"/>
      <w:pPr>
        <w:ind w:left="19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89A6F2E">
      <w:start w:val="1"/>
      <w:numFmt w:val="bullet"/>
      <w:lvlText w:val="-"/>
      <w:lvlJc w:val="left"/>
      <w:pPr>
        <w:ind w:left="25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E080A92">
      <w:start w:val="1"/>
      <w:numFmt w:val="bullet"/>
      <w:lvlText w:val="-"/>
      <w:lvlJc w:val="left"/>
      <w:pPr>
        <w:ind w:left="31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D587142">
      <w:start w:val="1"/>
      <w:numFmt w:val="bullet"/>
      <w:lvlText w:val="-"/>
      <w:lvlJc w:val="left"/>
      <w:pPr>
        <w:ind w:left="3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2A43CC0">
      <w:start w:val="1"/>
      <w:numFmt w:val="bullet"/>
      <w:lvlText w:val="-"/>
      <w:lvlJc w:val="left"/>
      <w:pPr>
        <w:ind w:left="43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4601512">
      <w:start w:val="1"/>
      <w:numFmt w:val="bullet"/>
      <w:lvlText w:val="-"/>
      <w:lvlJc w:val="left"/>
      <w:pPr>
        <w:ind w:left="49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6E"/>
    <w:rsid w:val="00017442"/>
    <w:rsid w:val="007123CB"/>
    <w:rsid w:val="00B24F6E"/>
    <w:rsid w:val="00B26EF4"/>
    <w:rsid w:val="00C156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19CBE-7240-4CB2-A126-902FD020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rPr>
      <w:rFonts w:ascii="Arial" w:eastAsia="Arial" w:hAnsi="Arial" w:cs="Arial"/>
      <w:color w:val="000000"/>
      <w:u w:color="000000"/>
    </w:rPr>
  </w:style>
  <w:style w:type="paragraph" w:styleId="Kop1">
    <w:name w:val="heading 1"/>
    <w:pPr>
      <w:keepNext/>
      <w:tabs>
        <w:tab w:val="left" w:pos="432"/>
      </w:tabs>
      <w:suppressAutoHyphens/>
      <w:ind w:left="432" w:hanging="432"/>
      <w:outlineLvl w:val="0"/>
    </w:pPr>
    <w:rPr>
      <w:rFonts w:ascii="Arial" w:hAnsi="Arial" w:cs="Arial Unicode MS"/>
      <w:b/>
      <w:bCs/>
      <w:color w:val="000000"/>
      <w:sz w:val="24"/>
      <w:szCs w:val="24"/>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suppressAutoHyphens/>
    </w:pPr>
    <w:rPr>
      <w:rFonts w:ascii="Arial" w:hAnsi="Arial" w:cs="Arial Unicode MS"/>
      <w:color w:val="000000"/>
      <w:u w:color="000000"/>
    </w:rPr>
  </w:style>
  <w:style w:type="paragraph" w:styleId="Bijschrift">
    <w:name w:val="caption"/>
    <w:pPr>
      <w:suppressAutoHyphens/>
      <w:outlineLvl w:val="0"/>
    </w:pPr>
    <w:rPr>
      <w:rFonts w:ascii="Calibri" w:eastAsia="Calibri" w:hAnsi="Calibri" w:cs="Calibri"/>
      <w:color w:val="000000"/>
      <w:sz w:val="36"/>
      <w:szCs w:val="36"/>
      <w:u w:color="000000"/>
    </w:rPr>
  </w:style>
  <w:style w:type="paragraph" w:styleId="Voettekst">
    <w:name w:val="footer"/>
    <w:pPr>
      <w:tabs>
        <w:tab w:val="center" w:pos="4536"/>
        <w:tab w:val="right" w:pos="9072"/>
      </w:tabs>
      <w:suppressAutoHyphens/>
    </w:pPr>
    <w:rPr>
      <w:rFonts w:ascii="Arial" w:eastAsia="Arial" w:hAnsi="Arial" w:cs="Arial"/>
      <w:color w:val="000000"/>
      <w:u w:color="000000"/>
    </w:rPr>
  </w:style>
  <w:style w:type="character" w:customStyle="1" w:styleId="Geen">
    <w:name w:val="Geen"/>
  </w:style>
  <w:style w:type="character" w:customStyle="1" w:styleId="Hyperlink0">
    <w:name w:val="Hyperlink.0"/>
    <w:basedOn w:val="Geen"/>
    <w:rPr>
      <w:color w:val="0563C1"/>
      <w:u w:val="single" w:color="0563C1"/>
      <w:lang w:val="en-US"/>
    </w:rPr>
  </w:style>
  <w:style w:type="numbering" w:customStyle="1" w:styleId="Lijst1">
    <w:name w:val="Lijst1"/>
    <w:pPr>
      <w:numPr>
        <w:numId w:val="1"/>
      </w:numPr>
    </w:pPr>
  </w:style>
  <w:style w:type="paragraph" w:styleId="Lijstalinea">
    <w:name w:val="List Paragraph"/>
    <w:pPr>
      <w:suppressAutoHyphens/>
      <w:ind w:left="720"/>
    </w:pPr>
    <w:rPr>
      <w:rFonts w:ascii="Arial" w:hAnsi="Arial" w:cs="Arial Unicode MS"/>
      <w:color w:val="000000"/>
      <w:u w:color="000000"/>
    </w:rPr>
  </w:style>
  <w:style w:type="numbering" w:customStyle="1" w:styleId="Gemporteerdestijl1">
    <w:name w:val="Geïmporteerde stijl 1"/>
    <w:pPr>
      <w:numPr>
        <w:numId w:val="3"/>
      </w:numPr>
    </w:pPr>
  </w:style>
  <w:style w:type="numbering" w:customStyle="1" w:styleId="Genummerd">
    <w:name w:val="Genummer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stuurssecretariaat@alblasser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979</Words>
  <Characters>5388</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Duimelaar, S (Saskia)</dc:creator>
  <cp:lastModifiedBy>Bode-Huizer, AM (Anneke)</cp:lastModifiedBy>
  <cp:revision>2</cp:revision>
  <dcterms:created xsi:type="dcterms:W3CDTF">2019-10-28T06:56:00Z</dcterms:created>
  <dcterms:modified xsi:type="dcterms:W3CDTF">2019-10-28T06:56:00Z</dcterms:modified>
</cp:coreProperties>
</file>