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790957" w14:textId="439D610B" w:rsidR="00726D78" w:rsidRPr="00066083" w:rsidRDefault="001D5FCB" w:rsidP="00726D78">
      <w:pPr>
        <w:ind w:firstLine="708"/>
        <w:rPr>
          <w:rFonts w:cstheme="minorHAnsi"/>
          <w:sz w:val="24"/>
          <w:szCs w:val="24"/>
        </w:rPr>
      </w:pPr>
      <w:bookmarkStart w:id="0" w:name="_GoBack"/>
      <w:bookmarkEnd w:id="0"/>
      <w:r w:rsidRPr="001D5FCB">
        <w:rPr>
          <w:rFonts w:cstheme="minorHAnsi"/>
          <w:b/>
          <w:bCs/>
          <w:color w:val="000000" w:themeColor="text1"/>
          <w:sz w:val="24"/>
          <w:szCs w:val="24"/>
        </w:rPr>
        <w:t>Motie</w:t>
      </w:r>
      <w:r w:rsidR="008A583A">
        <w:rPr>
          <w:rFonts w:cstheme="minorHAnsi"/>
          <w:b/>
          <w:bCs/>
          <w:sz w:val="24"/>
          <w:szCs w:val="24"/>
        </w:rPr>
        <w:t xml:space="preserve"> afschaffen verhuurderheffing</w:t>
      </w:r>
      <w:r w:rsidR="00726D78" w:rsidRPr="00066083">
        <w:rPr>
          <w:rFonts w:cstheme="minorHAnsi"/>
          <w:sz w:val="24"/>
          <w:szCs w:val="24"/>
        </w:rPr>
        <w:tab/>
      </w:r>
      <w:r w:rsidR="00051BDB" w:rsidRPr="00066083">
        <w:rPr>
          <w:noProof/>
          <w:sz w:val="24"/>
          <w:szCs w:val="24"/>
          <w:lang w:eastAsia="nl-NL"/>
        </w:rPr>
        <w:drawing>
          <wp:inline distT="0" distB="0" distL="0" distR="0" wp14:anchorId="521BDF47" wp14:editId="01B0F9D9">
            <wp:extent cx="1152525" cy="583565"/>
            <wp:effectExtent l="0" t="0" r="9525" b="6985"/>
            <wp:docPr id="4" name="Afbeelding 2" descr="image001.png"/>
            <wp:cNvGraphicFramePr/>
            <a:graphic xmlns:a="http://schemas.openxmlformats.org/drawingml/2006/main">
              <a:graphicData uri="http://schemas.openxmlformats.org/drawingml/2006/picture">
                <pic:pic xmlns:pic="http://schemas.openxmlformats.org/drawingml/2006/picture">
                  <pic:nvPicPr>
                    <pic:cNvPr id="4" name="Afbeelding 2" descr="image001.png"/>
                    <pic:cNvPicPr/>
                  </pic:nvPicPr>
                  <pic:blipFill>
                    <a:blip r:embed="rId8" r:link="rId9" cstate="print"/>
                    <a:srcRect/>
                    <a:stretch>
                      <a:fillRect/>
                    </a:stretch>
                  </pic:blipFill>
                  <pic:spPr bwMode="auto">
                    <a:xfrm>
                      <a:off x="0" y="0"/>
                      <a:ext cx="1153061" cy="583836"/>
                    </a:xfrm>
                    <a:prstGeom prst="rect">
                      <a:avLst/>
                    </a:prstGeom>
                    <a:noFill/>
                    <a:ln w="9525">
                      <a:noFill/>
                      <a:miter lim="800000"/>
                      <a:headEnd/>
                      <a:tailEnd/>
                    </a:ln>
                  </pic:spPr>
                </pic:pic>
              </a:graphicData>
            </a:graphic>
          </wp:inline>
        </w:drawing>
      </w:r>
      <w:r w:rsidR="00726D78" w:rsidRPr="00066083">
        <w:rPr>
          <w:rFonts w:cstheme="minorHAnsi"/>
          <w:sz w:val="24"/>
          <w:szCs w:val="24"/>
        </w:rPr>
        <w:tab/>
      </w:r>
      <w:r w:rsidR="00051BDB">
        <w:rPr>
          <w:noProof/>
          <w:lang w:eastAsia="nl-NL"/>
        </w:rPr>
        <w:drawing>
          <wp:inline distT="0" distB="0" distL="0" distR="0" wp14:anchorId="3407BFF7" wp14:editId="13C08BA7">
            <wp:extent cx="847725" cy="847725"/>
            <wp:effectExtent l="0" t="0" r="9525"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r w:rsidR="00726D78" w:rsidRPr="00066083">
        <w:rPr>
          <w:rFonts w:cstheme="minorHAnsi"/>
          <w:sz w:val="24"/>
          <w:szCs w:val="24"/>
        </w:rPr>
        <w:tab/>
      </w:r>
      <w:r w:rsidR="00726D78" w:rsidRPr="00066083">
        <w:rPr>
          <w:rFonts w:cstheme="minorHAnsi"/>
          <w:sz w:val="24"/>
          <w:szCs w:val="24"/>
        </w:rPr>
        <w:tab/>
      </w:r>
    </w:p>
    <w:p w14:paraId="01681F4F" w14:textId="77777777" w:rsidR="00726D78" w:rsidRPr="00066083" w:rsidRDefault="00726D78" w:rsidP="00726D78">
      <w:pPr>
        <w:spacing w:after="0"/>
        <w:ind w:firstLine="708"/>
        <w:rPr>
          <w:rFonts w:cstheme="minorHAnsi"/>
          <w:sz w:val="24"/>
          <w:szCs w:val="24"/>
        </w:rPr>
      </w:pPr>
      <w:r w:rsidRPr="00066083">
        <w:rPr>
          <w:rFonts w:cstheme="minorHAnsi"/>
          <w:b/>
          <w:sz w:val="24"/>
          <w:szCs w:val="24"/>
        </w:rPr>
        <w:t>Constaterende dat:</w:t>
      </w:r>
    </w:p>
    <w:p w14:paraId="1285BEDE" w14:textId="77777777" w:rsidR="00726D78" w:rsidRPr="00066083" w:rsidRDefault="00726D78" w:rsidP="00726D78">
      <w:pPr>
        <w:spacing w:after="0"/>
        <w:rPr>
          <w:rFonts w:cstheme="minorHAnsi"/>
          <w:sz w:val="24"/>
          <w:szCs w:val="24"/>
        </w:rPr>
      </w:pPr>
    </w:p>
    <w:p w14:paraId="2859732F" w14:textId="26EA7E22" w:rsidR="00C779DD" w:rsidRPr="003742E9" w:rsidRDefault="00066083" w:rsidP="00C779DD">
      <w:pPr>
        <w:pStyle w:val="Lijstalinea"/>
        <w:numPr>
          <w:ilvl w:val="0"/>
          <w:numId w:val="1"/>
        </w:numPr>
        <w:spacing w:after="0"/>
        <w:jc w:val="both"/>
        <w:rPr>
          <w:rFonts w:cstheme="minorHAnsi"/>
          <w:color w:val="70AD47" w:themeColor="accent6"/>
        </w:rPr>
      </w:pPr>
      <w:r w:rsidRPr="003742E9">
        <w:rPr>
          <w:rFonts w:cstheme="minorHAnsi"/>
          <w:color w:val="000000" w:themeColor="text1"/>
        </w:rPr>
        <w:t>Dat de huurprijzen in de sociale en in de vrije sector de pan uit rijzen</w:t>
      </w:r>
      <w:r w:rsidR="00C779DD" w:rsidRPr="003742E9">
        <w:rPr>
          <w:rFonts w:cstheme="minorHAnsi"/>
        </w:rPr>
        <w:t>: de</w:t>
      </w:r>
      <w:r w:rsidR="00C779DD" w:rsidRPr="003742E9">
        <w:rPr>
          <w:rFonts w:cstheme="minorHAnsi"/>
          <w:color w:val="70AD47" w:themeColor="accent6"/>
        </w:rPr>
        <w:t xml:space="preserve"> </w:t>
      </w:r>
      <w:r w:rsidR="00C779DD" w:rsidRPr="003742E9">
        <w:rPr>
          <w:rFonts w:cstheme="minorHAnsi"/>
          <w:color w:val="000000" w:themeColor="text1"/>
        </w:rPr>
        <w:t>huren stegen tussen 2013 en 2018 met 18,5%</w:t>
      </w:r>
      <w:r w:rsidR="00C779DD" w:rsidRPr="003742E9">
        <w:rPr>
          <w:rStyle w:val="Voetnootmarkering"/>
          <w:rFonts w:cstheme="minorHAnsi"/>
          <w:color w:val="000000" w:themeColor="text1"/>
        </w:rPr>
        <w:footnoteReference w:id="1"/>
      </w:r>
      <w:r w:rsidR="00C779DD" w:rsidRPr="003742E9">
        <w:rPr>
          <w:rFonts w:cstheme="minorHAnsi"/>
          <w:color w:val="000000" w:themeColor="text1"/>
        </w:rPr>
        <w:t>;</w:t>
      </w:r>
    </w:p>
    <w:p w14:paraId="54FDB3C0" w14:textId="7564FD4F" w:rsidR="009F1325" w:rsidRPr="003742E9" w:rsidRDefault="009F1325" w:rsidP="009F1325">
      <w:pPr>
        <w:pStyle w:val="Lijstalinea"/>
        <w:numPr>
          <w:ilvl w:val="0"/>
          <w:numId w:val="1"/>
        </w:numPr>
        <w:jc w:val="both"/>
        <w:rPr>
          <w:rFonts w:cstheme="minorHAnsi"/>
        </w:rPr>
      </w:pPr>
      <w:r w:rsidRPr="003742E9">
        <w:rPr>
          <w:rFonts w:cstheme="minorHAnsi"/>
        </w:rPr>
        <w:t>De helft van de huurders moeite heeft met rond komen en bijna één op de drie huurders betalingsachterstanden heeft</w:t>
      </w:r>
      <w:r w:rsidRPr="003742E9">
        <w:rPr>
          <w:rStyle w:val="Voetnootmarkering"/>
          <w:rFonts w:cstheme="minorHAnsi"/>
        </w:rPr>
        <w:footnoteReference w:id="2"/>
      </w:r>
      <w:r w:rsidRPr="003742E9">
        <w:rPr>
          <w:rFonts w:cstheme="minorHAnsi"/>
        </w:rPr>
        <w:t xml:space="preserve">; </w:t>
      </w:r>
    </w:p>
    <w:p w14:paraId="1EA4E9E8" w14:textId="07A0ADDA" w:rsidR="00066083" w:rsidRPr="00066083" w:rsidRDefault="00066083" w:rsidP="00066083">
      <w:pPr>
        <w:pStyle w:val="Lijstalinea"/>
        <w:numPr>
          <w:ilvl w:val="0"/>
          <w:numId w:val="1"/>
        </w:numPr>
        <w:jc w:val="both"/>
        <w:rPr>
          <w:rFonts w:cstheme="minorHAnsi"/>
        </w:rPr>
      </w:pPr>
      <w:r w:rsidRPr="00066083">
        <w:rPr>
          <w:rFonts w:cstheme="minorHAnsi"/>
        </w:rPr>
        <w:t>Woningcorporaties een verhuurderheffing aan het Rijk moeten betalen over de WOZ-waarde van (sociale) huurwoningen</w:t>
      </w:r>
      <w:r>
        <w:rPr>
          <w:rFonts w:cstheme="minorHAnsi"/>
        </w:rPr>
        <w:t>;</w:t>
      </w:r>
    </w:p>
    <w:p w14:paraId="6822B48B" w14:textId="3D4EA196" w:rsidR="00066083" w:rsidRPr="00066083" w:rsidRDefault="00066083" w:rsidP="00066083">
      <w:pPr>
        <w:pStyle w:val="Lijstalinea"/>
        <w:numPr>
          <w:ilvl w:val="0"/>
          <w:numId w:val="1"/>
        </w:numPr>
        <w:jc w:val="both"/>
        <w:rPr>
          <w:rFonts w:cstheme="minorHAnsi"/>
        </w:rPr>
      </w:pPr>
      <w:r w:rsidRPr="00066083">
        <w:rPr>
          <w:rFonts w:cstheme="minorHAnsi"/>
        </w:rPr>
        <w:t>Deze financiële maatregelen, die de woningverenigingen aan het Rijk moet afdragen, gelijk staan aan gemiddeld 3 maanden huur per huishouden per jaar</w:t>
      </w:r>
      <w:r>
        <w:rPr>
          <w:rFonts w:cstheme="minorHAnsi"/>
        </w:rPr>
        <w:t>;</w:t>
      </w:r>
    </w:p>
    <w:p w14:paraId="331FDB09" w14:textId="3A3A4948" w:rsidR="00066083" w:rsidRPr="00066083" w:rsidRDefault="00066083" w:rsidP="00066083">
      <w:pPr>
        <w:pStyle w:val="Lijstalinea"/>
        <w:numPr>
          <w:ilvl w:val="0"/>
          <w:numId w:val="1"/>
        </w:numPr>
        <w:jc w:val="both"/>
        <w:rPr>
          <w:rFonts w:cstheme="minorHAnsi"/>
        </w:rPr>
      </w:pPr>
      <w:r w:rsidRPr="00066083">
        <w:rPr>
          <w:rFonts w:cstheme="minorHAnsi"/>
        </w:rPr>
        <w:t>Woningcorporaties door de verhuurderheffing minder kunnen investeren in nieuwbouw, leefbaarheid, verduurzaming en het betaalbaar houden van de huurprijzen</w:t>
      </w:r>
      <w:r>
        <w:rPr>
          <w:rFonts w:cstheme="minorHAnsi"/>
        </w:rPr>
        <w:t>;</w:t>
      </w:r>
    </w:p>
    <w:p w14:paraId="70B66697" w14:textId="691A14C3" w:rsidR="00066083" w:rsidRPr="00066083" w:rsidRDefault="00066083" w:rsidP="00066083">
      <w:pPr>
        <w:pStyle w:val="Lijstalinea"/>
        <w:numPr>
          <w:ilvl w:val="0"/>
          <w:numId w:val="1"/>
        </w:numPr>
        <w:jc w:val="both"/>
        <w:rPr>
          <w:rFonts w:cstheme="minorHAnsi"/>
        </w:rPr>
      </w:pPr>
      <w:r w:rsidRPr="00066083">
        <w:rPr>
          <w:rFonts w:cstheme="minorHAnsi"/>
        </w:rPr>
        <w:t>Naast de verhuurderheffing, woningcorporaties ook nog andere belastingen betalen, zoals vennootschapsbelasting</w:t>
      </w:r>
      <w:r>
        <w:rPr>
          <w:rFonts w:cstheme="minorHAnsi"/>
        </w:rPr>
        <w:t>;</w:t>
      </w:r>
      <w:r w:rsidRPr="00066083">
        <w:rPr>
          <w:rFonts w:cstheme="minorHAnsi"/>
        </w:rPr>
        <w:t xml:space="preserve"> </w:t>
      </w:r>
    </w:p>
    <w:p w14:paraId="2FF801B9" w14:textId="1CDF68BA" w:rsidR="00726D78" w:rsidRPr="00066083" w:rsidRDefault="00726D78" w:rsidP="00066083">
      <w:pPr>
        <w:pStyle w:val="Lijstalinea"/>
        <w:numPr>
          <w:ilvl w:val="0"/>
          <w:numId w:val="1"/>
        </w:numPr>
        <w:spacing w:after="0"/>
        <w:jc w:val="both"/>
        <w:rPr>
          <w:rFonts w:cstheme="minorHAnsi"/>
        </w:rPr>
      </w:pPr>
      <w:r w:rsidRPr="00066083">
        <w:rPr>
          <w:rFonts w:cstheme="minorHAnsi"/>
        </w:rPr>
        <w:t>Woningcorporaties een voortrekkersrol hebben bij de transitie van de bebouwde omgeving en het leefbaar houden van stad, dorp en platteland</w:t>
      </w:r>
      <w:r w:rsidR="00066083">
        <w:rPr>
          <w:rFonts w:cstheme="minorHAnsi"/>
        </w:rPr>
        <w:t>.</w:t>
      </w:r>
    </w:p>
    <w:p w14:paraId="1C879570" w14:textId="77777777" w:rsidR="00066083" w:rsidRPr="00066083" w:rsidRDefault="00066083" w:rsidP="00066083">
      <w:pPr>
        <w:pStyle w:val="Lijstalinea"/>
        <w:spacing w:after="0"/>
        <w:jc w:val="both"/>
        <w:rPr>
          <w:rFonts w:cstheme="minorHAnsi"/>
        </w:rPr>
      </w:pPr>
    </w:p>
    <w:p w14:paraId="02185BF8" w14:textId="77777777" w:rsidR="00726D78" w:rsidRPr="00066083" w:rsidRDefault="00726D78" w:rsidP="00066083">
      <w:pPr>
        <w:ind w:firstLine="708"/>
        <w:jc w:val="both"/>
        <w:rPr>
          <w:rFonts w:cstheme="minorHAnsi"/>
          <w:b/>
        </w:rPr>
      </w:pPr>
      <w:r w:rsidRPr="00066083">
        <w:rPr>
          <w:rFonts w:cstheme="minorHAnsi"/>
          <w:b/>
        </w:rPr>
        <w:t>Overwegende dat:</w:t>
      </w:r>
    </w:p>
    <w:p w14:paraId="3AB68F77" w14:textId="205992EF" w:rsidR="00066083" w:rsidRPr="00066083" w:rsidRDefault="00066083" w:rsidP="00066083">
      <w:pPr>
        <w:pStyle w:val="Lijstalinea"/>
        <w:numPr>
          <w:ilvl w:val="0"/>
          <w:numId w:val="1"/>
        </w:numPr>
        <w:spacing w:after="0"/>
        <w:jc w:val="both"/>
        <w:rPr>
          <w:rFonts w:cstheme="minorHAnsi"/>
        </w:rPr>
      </w:pPr>
      <w:r w:rsidRPr="00066083">
        <w:rPr>
          <w:rFonts w:cstheme="minorHAnsi"/>
        </w:rPr>
        <w:t>Huurders door deze maatregel nadelige financiële consequenties ondervinden, door het niet uitvoeren van duurzaamheidsmaatregelen en de (sociale) woningbouw of door verhoging van de huren</w:t>
      </w:r>
      <w:r>
        <w:rPr>
          <w:rFonts w:cstheme="minorHAnsi"/>
        </w:rPr>
        <w:t>;</w:t>
      </w:r>
      <w:r w:rsidRPr="00066083">
        <w:rPr>
          <w:rFonts w:cstheme="minorHAnsi"/>
        </w:rPr>
        <w:t xml:space="preserve"> </w:t>
      </w:r>
    </w:p>
    <w:p w14:paraId="21843313" w14:textId="289B733A" w:rsidR="00066083" w:rsidRPr="00066083" w:rsidRDefault="00066083" w:rsidP="00066083">
      <w:pPr>
        <w:pStyle w:val="Lijstalinea"/>
        <w:numPr>
          <w:ilvl w:val="0"/>
          <w:numId w:val="1"/>
        </w:numPr>
        <w:spacing w:after="0"/>
        <w:jc w:val="both"/>
        <w:rPr>
          <w:rFonts w:cstheme="minorHAnsi"/>
        </w:rPr>
      </w:pPr>
      <w:r w:rsidRPr="00066083">
        <w:rPr>
          <w:rFonts w:cstheme="minorHAnsi"/>
        </w:rPr>
        <w:t>Het schrappen van de verhuurderheffing ervoor zorgt dat woningcorporaties meer capaciteit hebben om te investeren in bestaande en nieuwe woningbouw, over kunnen gaan tot verduurzaming van woningen en huurverhogingen van sociale huurwoningen te beperken zijn tot de inflatie;</w:t>
      </w:r>
    </w:p>
    <w:p w14:paraId="7B8CFACD" w14:textId="246B11C7" w:rsidR="00726D78" w:rsidRPr="00066083" w:rsidRDefault="00726D78" w:rsidP="00066083">
      <w:pPr>
        <w:pStyle w:val="Lijstalinea"/>
        <w:numPr>
          <w:ilvl w:val="0"/>
          <w:numId w:val="1"/>
        </w:numPr>
        <w:spacing w:after="0"/>
        <w:jc w:val="both"/>
        <w:rPr>
          <w:rFonts w:cstheme="minorHAnsi"/>
        </w:rPr>
      </w:pPr>
      <w:r w:rsidRPr="00066083">
        <w:rPr>
          <w:rFonts w:cstheme="minorHAnsi"/>
        </w:rPr>
        <w:t>De koepel van woningcorporaties Aedes , de VNG, Bouwend Nederland alsmede de werknemers- en werkgeversverenigingen en de Woonbond en ook een groot aantal woningcorporaties reeds eerder hun bezwaren kenbaar hebben gemaakt bij de rijksoverheid tegen deze heffing, tot nu toe zonder resultaat</w:t>
      </w:r>
      <w:r w:rsidR="00066083">
        <w:rPr>
          <w:rFonts w:cstheme="minorHAnsi"/>
        </w:rPr>
        <w:t>;</w:t>
      </w:r>
    </w:p>
    <w:p w14:paraId="6A7E9624" w14:textId="6EA0519B" w:rsidR="00726D78" w:rsidRPr="00066083" w:rsidRDefault="00726D78" w:rsidP="00066083">
      <w:pPr>
        <w:pStyle w:val="Lijstalinea"/>
        <w:numPr>
          <w:ilvl w:val="0"/>
          <w:numId w:val="1"/>
        </w:numPr>
        <w:spacing w:after="0"/>
        <w:jc w:val="both"/>
        <w:rPr>
          <w:rFonts w:cstheme="minorHAnsi"/>
        </w:rPr>
      </w:pPr>
      <w:r w:rsidRPr="00066083">
        <w:rPr>
          <w:rFonts w:cstheme="minorHAnsi"/>
        </w:rPr>
        <w:t>Steeds meer Nederlandse gemeenten middels moties aandringen op afschaffing van de verhuurderheffing</w:t>
      </w:r>
      <w:r w:rsidR="00066083">
        <w:rPr>
          <w:rFonts w:cstheme="minorHAnsi"/>
        </w:rPr>
        <w:t>;</w:t>
      </w:r>
    </w:p>
    <w:p w14:paraId="1552C3D0" w14:textId="6A65B03B" w:rsidR="00726D78" w:rsidRPr="00066083" w:rsidRDefault="00726D78" w:rsidP="00066083">
      <w:pPr>
        <w:pStyle w:val="Lijstalinea"/>
        <w:numPr>
          <w:ilvl w:val="0"/>
          <w:numId w:val="1"/>
        </w:numPr>
        <w:spacing w:after="0"/>
        <w:jc w:val="both"/>
        <w:rPr>
          <w:rFonts w:cstheme="minorHAnsi"/>
        </w:rPr>
      </w:pPr>
      <w:r w:rsidRPr="00066083">
        <w:rPr>
          <w:rFonts w:cstheme="minorHAnsi"/>
        </w:rPr>
        <w:t>Nederland het enige land is in de EU dat ten koste van de huurders en het klimaat op deze manier verdient aan de sociale volkshuisvesting</w:t>
      </w:r>
      <w:r w:rsidR="00066083">
        <w:rPr>
          <w:rFonts w:cstheme="minorHAnsi"/>
        </w:rPr>
        <w:t>.</w:t>
      </w:r>
    </w:p>
    <w:p w14:paraId="4D8056D8" w14:textId="77777777" w:rsidR="00726D78" w:rsidRPr="00066083" w:rsidRDefault="00726D78" w:rsidP="00066083">
      <w:pPr>
        <w:spacing w:after="0"/>
        <w:jc w:val="both"/>
        <w:rPr>
          <w:rFonts w:cstheme="minorHAnsi"/>
        </w:rPr>
      </w:pPr>
    </w:p>
    <w:p w14:paraId="4F907D80" w14:textId="77777777" w:rsidR="00726D78" w:rsidRPr="00066083" w:rsidRDefault="00726D78" w:rsidP="00066083">
      <w:pPr>
        <w:spacing w:after="0"/>
        <w:ind w:firstLine="708"/>
        <w:jc w:val="both"/>
        <w:rPr>
          <w:rFonts w:cstheme="minorHAnsi"/>
          <w:b/>
        </w:rPr>
      </w:pPr>
      <w:r w:rsidRPr="00066083">
        <w:rPr>
          <w:rFonts w:cstheme="minorHAnsi"/>
          <w:b/>
        </w:rPr>
        <w:t>Spreekt uit dat:</w:t>
      </w:r>
    </w:p>
    <w:p w14:paraId="4529D2A8" w14:textId="77777777" w:rsidR="008A583A" w:rsidRDefault="008A583A" w:rsidP="008A583A">
      <w:pPr>
        <w:pStyle w:val="Lijstalinea"/>
        <w:spacing w:after="0"/>
        <w:jc w:val="both"/>
        <w:rPr>
          <w:rFonts w:cstheme="minorHAnsi"/>
        </w:rPr>
      </w:pPr>
    </w:p>
    <w:p w14:paraId="1FF27968" w14:textId="3E911F49" w:rsidR="00726D78" w:rsidRPr="00AB57CD" w:rsidRDefault="00726D78" w:rsidP="00066083">
      <w:pPr>
        <w:pStyle w:val="Lijstalinea"/>
        <w:numPr>
          <w:ilvl w:val="0"/>
          <w:numId w:val="1"/>
        </w:numPr>
        <w:spacing w:after="0"/>
        <w:jc w:val="both"/>
        <w:rPr>
          <w:rFonts w:cstheme="minorHAnsi"/>
        </w:rPr>
      </w:pPr>
      <w:r w:rsidRPr="00066083">
        <w:rPr>
          <w:rFonts w:cstheme="minorHAnsi"/>
        </w:rPr>
        <w:t>Dat de verhuurderheffing negatieve effecten heeft voor de woningvoorraad</w:t>
      </w:r>
      <w:r w:rsidR="008A583A">
        <w:rPr>
          <w:rFonts w:cstheme="minorHAnsi"/>
        </w:rPr>
        <w:t xml:space="preserve">, </w:t>
      </w:r>
      <w:r w:rsidRPr="00066083">
        <w:rPr>
          <w:rFonts w:cstheme="minorHAnsi"/>
        </w:rPr>
        <w:t>negatief werkt voor de mogelijkheden van de woningcorporaties in het algemeen</w:t>
      </w:r>
      <w:r w:rsidR="008A583A">
        <w:rPr>
          <w:rFonts w:cstheme="minorHAnsi"/>
        </w:rPr>
        <w:t xml:space="preserve"> </w:t>
      </w:r>
      <w:r w:rsidR="008A583A" w:rsidRPr="00AB57CD">
        <w:rPr>
          <w:rFonts w:cstheme="minorHAnsi"/>
        </w:rPr>
        <w:t>en de woonlasten van huurders</w:t>
      </w:r>
      <w:r w:rsidR="005B2755" w:rsidRPr="00AB57CD">
        <w:rPr>
          <w:rFonts w:cstheme="minorHAnsi"/>
        </w:rPr>
        <w:t xml:space="preserve"> onnodig</w:t>
      </w:r>
      <w:r w:rsidR="008A583A" w:rsidRPr="00AB57CD">
        <w:rPr>
          <w:rFonts w:cstheme="minorHAnsi"/>
        </w:rPr>
        <w:t xml:space="preserve"> verhoogt.</w:t>
      </w:r>
    </w:p>
    <w:p w14:paraId="342856AF" w14:textId="77777777" w:rsidR="00726D78" w:rsidRPr="00066083" w:rsidRDefault="00726D78" w:rsidP="00066083">
      <w:pPr>
        <w:spacing w:after="0"/>
        <w:jc w:val="both"/>
        <w:rPr>
          <w:rFonts w:cstheme="minorHAnsi"/>
        </w:rPr>
      </w:pPr>
    </w:p>
    <w:p w14:paraId="0A92517E" w14:textId="77777777" w:rsidR="00726D78" w:rsidRPr="00066083" w:rsidRDefault="00726D78" w:rsidP="00066083">
      <w:pPr>
        <w:ind w:firstLine="708"/>
        <w:jc w:val="both"/>
        <w:rPr>
          <w:rFonts w:cstheme="minorHAnsi"/>
          <w:b/>
        </w:rPr>
      </w:pPr>
      <w:r w:rsidRPr="00066083">
        <w:rPr>
          <w:rFonts w:cstheme="minorHAnsi"/>
          <w:b/>
        </w:rPr>
        <w:t>Verzoekt het college van burgemeester en wethouders:</w:t>
      </w:r>
    </w:p>
    <w:p w14:paraId="2A4D010D" w14:textId="47D4A3D1" w:rsidR="00726D78" w:rsidRPr="00066083" w:rsidRDefault="00726D78" w:rsidP="00066083">
      <w:pPr>
        <w:pStyle w:val="Lijstalinea"/>
        <w:numPr>
          <w:ilvl w:val="0"/>
          <w:numId w:val="1"/>
        </w:numPr>
        <w:spacing w:after="0"/>
        <w:jc w:val="both"/>
        <w:rPr>
          <w:rFonts w:cstheme="minorHAnsi"/>
        </w:rPr>
      </w:pPr>
      <w:r w:rsidRPr="00066083">
        <w:rPr>
          <w:rFonts w:cstheme="minorHAnsi"/>
        </w:rPr>
        <w:t>Er bij de rijksoverheid</w:t>
      </w:r>
      <w:r w:rsidR="00BC2900" w:rsidRPr="00066083">
        <w:rPr>
          <w:rFonts w:cstheme="minorHAnsi"/>
        </w:rPr>
        <w:t xml:space="preserve"> namens Brunssum</w:t>
      </w:r>
      <w:r w:rsidRPr="00066083">
        <w:rPr>
          <w:rFonts w:cstheme="minorHAnsi"/>
        </w:rPr>
        <w:t xml:space="preserve"> op aan te dringen de verhuurderheffing af te schaffen.</w:t>
      </w:r>
    </w:p>
    <w:p w14:paraId="672E24FD" w14:textId="77777777" w:rsidR="00726D78" w:rsidRPr="00066083" w:rsidRDefault="00726D78" w:rsidP="00066083">
      <w:pPr>
        <w:spacing w:after="0"/>
        <w:jc w:val="both"/>
        <w:rPr>
          <w:rFonts w:cstheme="minorHAnsi"/>
        </w:rPr>
      </w:pPr>
    </w:p>
    <w:p w14:paraId="704DF2DF" w14:textId="77777777" w:rsidR="00726D78" w:rsidRPr="00066083" w:rsidRDefault="00726D78" w:rsidP="00066083">
      <w:pPr>
        <w:spacing w:after="0"/>
        <w:ind w:firstLine="708"/>
        <w:jc w:val="both"/>
        <w:rPr>
          <w:rFonts w:cstheme="minorHAnsi"/>
          <w:b/>
        </w:rPr>
      </w:pPr>
      <w:r w:rsidRPr="00066083">
        <w:rPr>
          <w:rFonts w:cstheme="minorHAnsi"/>
          <w:b/>
        </w:rPr>
        <w:t>Verzoekt de griffie:</w:t>
      </w:r>
    </w:p>
    <w:p w14:paraId="796B439A" w14:textId="77777777" w:rsidR="00726D78" w:rsidRPr="00066083" w:rsidRDefault="00726D78" w:rsidP="00066083">
      <w:pPr>
        <w:pStyle w:val="Lijstalinea"/>
        <w:numPr>
          <w:ilvl w:val="0"/>
          <w:numId w:val="1"/>
        </w:numPr>
        <w:spacing w:after="0"/>
        <w:jc w:val="both"/>
        <w:rPr>
          <w:rFonts w:cstheme="minorHAnsi"/>
          <w:b/>
        </w:rPr>
      </w:pPr>
      <w:r w:rsidRPr="00066083">
        <w:rPr>
          <w:rFonts w:cstheme="minorHAnsi"/>
        </w:rPr>
        <w:t xml:space="preserve">Deze motie namens </w:t>
      </w:r>
      <w:r w:rsidR="00BC2900" w:rsidRPr="00066083">
        <w:rPr>
          <w:rFonts w:cstheme="minorHAnsi"/>
        </w:rPr>
        <w:t>Brunssum</w:t>
      </w:r>
      <w:r w:rsidRPr="00066083">
        <w:rPr>
          <w:rFonts w:cstheme="minorHAnsi"/>
        </w:rPr>
        <w:t xml:space="preserve"> ter kennis te brengen van de minister voor milieu en wonen, de VNG en de koepelorganisatie Aedes, alsmede de gemeenteraden in Nederlandse gemeenten.</w:t>
      </w:r>
    </w:p>
    <w:p w14:paraId="230D6F0C" w14:textId="77777777" w:rsidR="00726D78" w:rsidRPr="00066083" w:rsidRDefault="00726D78" w:rsidP="00066083">
      <w:pPr>
        <w:pStyle w:val="Lijstalinea"/>
        <w:numPr>
          <w:ilvl w:val="0"/>
          <w:numId w:val="1"/>
        </w:numPr>
        <w:spacing w:after="0"/>
        <w:jc w:val="both"/>
        <w:rPr>
          <w:rFonts w:cstheme="minorHAnsi"/>
          <w:b/>
        </w:rPr>
      </w:pPr>
      <w:r w:rsidRPr="00066083">
        <w:rPr>
          <w:rFonts w:cstheme="minorHAnsi"/>
          <w:b/>
        </w:rPr>
        <w:t>Aldus vastgesteld door de raad der gemeente Brunssum, tijdens de raadsvergadering d.d. 26-05-2020 en gaat over tot de orde van de dag.</w:t>
      </w:r>
    </w:p>
    <w:p w14:paraId="116EA4C1" w14:textId="6696B455" w:rsidR="00726D78" w:rsidRPr="007B4542" w:rsidRDefault="00BC2900" w:rsidP="00726D78">
      <w:pPr>
        <w:pStyle w:val="Lijstalinea"/>
        <w:numPr>
          <w:ilvl w:val="0"/>
          <w:numId w:val="1"/>
        </w:numPr>
        <w:spacing w:after="0"/>
        <w:jc w:val="both"/>
        <w:rPr>
          <w:rFonts w:cstheme="minorHAnsi"/>
          <w:b/>
          <w:color w:val="FF0000"/>
        </w:rPr>
      </w:pPr>
      <w:r w:rsidRPr="003315C4">
        <w:rPr>
          <w:rFonts w:cstheme="minorHAnsi"/>
          <w:b/>
        </w:rPr>
        <w:t xml:space="preserve">Namens de SP fractie : </w:t>
      </w:r>
      <w:r w:rsidR="007C0741" w:rsidRPr="003315C4">
        <w:rPr>
          <w:rFonts w:cstheme="minorHAnsi"/>
          <w:b/>
        </w:rPr>
        <w:t>Katinka Coenen en Tom Lurken</w:t>
      </w:r>
      <w:r w:rsidR="008A583A">
        <w:rPr>
          <w:rFonts w:cstheme="minorHAnsi"/>
          <w:b/>
        </w:rPr>
        <w:t>. Namens de</w:t>
      </w:r>
      <w:r w:rsidR="007C0741" w:rsidRPr="008A583A">
        <w:rPr>
          <w:rFonts w:cstheme="minorHAnsi"/>
          <w:b/>
        </w:rPr>
        <w:t xml:space="preserve"> CDA</w:t>
      </w:r>
      <w:r w:rsidR="008A583A">
        <w:rPr>
          <w:rFonts w:cstheme="minorHAnsi"/>
          <w:b/>
        </w:rPr>
        <w:t xml:space="preserve"> fractie:</w:t>
      </w:r>
      <w:r w:rsidR="007C0741" w:rsidRPr="008A583A">
        <w:rPr>
          <w:rFonts w:cstheme="minorHAnsi"/>
          <w:b/>
        </w:rPr>
        <w:t xml:space="preserve"> Raymond Claus.</w:t>
      </w:r>
    </w:p>
    <w:sectPr w:rsidR="00726D78" w:rsidRPr="007B4542" w:rsidSect="0006608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FC77B7" w14:textId="77777777" w:rsidR="008F24C9" w:rsidRDefault="008F24C9" w:rsidP="00C779DD">
      <w:pPr>
        <w:spacing w:after="0"/>
      </w:pPr>
      <w:r>
        <w:separator/>
      </w:r>
    </w:p>
  </w:endnote>
  <w:endnote w:type="continuationSeparator" w:id="0">
    <w:p w14:paraId="7C21624A" w14:textId="77777777" w:rsidR="008F24C9" w:rsidRDefault="008F24C9" w:rsidP="00C779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DD6F7A" w14:textId="77777777" w:rsidR="008F24C9" w:rsidRDefault="008F24C9" w:rsidP="00C779DD">
      <w:pPr>
        <w:spacing w:after="0"/>
      </w:pPr>
      <w:r>
        <w:separator/>
      </w:r>
    </w:p>
  </w:footnote>
  <w:footnote w:type="continuationSeparator" w:id="0">
    <w:p w14:paraId="285BE5A7" w14:textId="77777777" w:rsidR="008F24C9" w:rsidRDefault="008F24C9" w:rsidP="00C779DD">
      <w:pPr>
        <w:spacing w:after="0"/>
      </w:pPr>
      <w:r>
        <w:continuationSeparator/>
      </w:r>
    </w:p>
  </w:footnote>
  <w:footnote w:id="1">
    <w:p w14:paraId="124D9CE0" w14:textId="77777777" w:rsidR="00C779DD" w:rsidRDefault="00C779DD" w:rsidP="00C779DD">
      <w:pPr>
        <w:pStyle w:val="Voetnoottekst"/>
      </w:pPr>
      <w:r>
        <w:rPr>
          <w:rStyle w:val="Voetnootmarkering"/>
        </w:rPr>
        <w:footnoteRef/>
      </w:r>
      <w:r>
        <w:t xml:space="preserve"> </w:t>
      </w:r>
      <w:hyperlink r:id="rId1" w:history="1">
        <w:r w:rsidRPr="00844944">
          <w:rPr>
            <w:rStyle w:val="Hyperlink"/>
          </w:rPr>
          <w:t>https://www.rtlnieuws.nl/nieuws/nederland/artikel/4405566/huurprijzen-fors-gestegen-zelfs-harder-dan-de-inflatie</w:t>
        </w:r>
      </w:hyperlink>
    </w:p>
  </w:footnote>
  <w:footnote w:id="2">
    <w:p w14:paraId="6C67A94B" w14:textId="77777777" w:rsidR="009F1325" w:rsidRDefault="009F1325" w:rsidP="009F1325">
      <w:pPr>
        <w:pStyle w:val="Voetnoottekst"/>
      </w:pPr>
      <w:r>
        <w:rPr>
          <w:rStyle w:val="Voetnootmarkering"/>
        </w:rPr>
        <w:footnoteRef/>
      </w:r>
      <w:r>
        <w:t xml:space="preserve"> </w:t>
      </w:r>
      <w:hyperlink r:id="rId2" w:history="1">
        <w:r w:rsidRPr="00844944">
          <w:rPr>
            <w:rStyle w:val="Hyperlink"/>
          </w:rPr>
          <w:t>https://www.nibud.nl/beroepsmatig/nibud-luidt-noodklok-kwart-van-de-huurders-zit-financieel-klem/</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C74916"/>
    <w:multiLevelType w:val="hybridMultilevel"/>
    <w:tmpl w:val="B972DEB8"/>
    <w:lvl w:ilvl="0" w:tplc="C0785970">
      <w:start w:val="18"/>
      <w:numFmt w:val="bullet"/>
      <w:lvlText w:val="-"/>
      <w:lvlJc w:val="left"/>
      <w:pPr>
        <w:ind w:left="720" w:hanging="360"/>
      </w:pPr>
      <w:rPr>
        <w:rFonts w:ascii="Calibri" w:eastAsiaTheme="minorHAnsi" w:hAnsi="Calibri" w:cstheme="minorBidi" w:hint="default"/>
        <w:color w:val="auto"/>
        <w:sz w:val="24"/>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D78"/>
    <w:rsid w:val="00051BDB"/>
    <w:rsid w:val="00066083"/>
    <w:rsid w:val="000F377F"/>
    <w:rsid w:val="00172D38"/>
    <w:rsid w:val="001A3662"/>
    <w:rsid w:val="001C510E"/>
    <w:rsid w:val="001D5FCB"/>
    <w:rsid w:val="003315C4"/>
    <w:rsid w:val="003742E9"/>
    <w:rsid w:val="00405BAC"/>
    <w:rsid w:val="005B2755"/>
    <w:rsid w:val="006A1DEC"/>
    <w:rsid w:val="006B0D84"/>
    <w:rsid w:val="00726D78"/>
    <w:rsid w:val="007B4542"/>
    <w:rsid w:val="007C0741"/>
    <w:rsid w:val="008A583A"/>
    <w:rsid w:val="008B5BD8"/>
    <w:rsid w:val="008B74CF"/>
    <w:rsid w:val="008F24C9"/>
    <w:rsid w:val="008F4DD0"/>
    <w:rsid w:val="009C777A"/>
    <w:rsid w:val="009F1325"/>
    <w:rsid w:val="00A05F8A"/>
    <w:rsid w:val="00A26E06"/>
    <w:rsid w:val="00AB57CD"/>
    <w:rsid w:val="00BC2900"/>
    <w:rsid w:val="00C779DD"/>
    <w:rsid w:val="00CF5F68"/>
    <w:rsid w:val="00DB0FE5"/>
    <w:rsid w:val="00FD7935"/>
    <w:rsid w:val="00FE66AF"/>
    <w:rsid w:val="00FF376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61C6D"/>
  <w15:chartTrackingRefBased/>
  <w15:docId w15:val="{41D109A2-D23A-4EA8-BA4C-68DF087DC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26D78"/>
    <w:pPr>
      <w:spacing w:after="200" w:line="240"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26D78"/>
    <w:pPr>
      <w:ind w:left="720"/>
      <w:contextualSpacing/>
    </w:pPr>
  </w:style>
  <w:style w:type="table" w:styleId="Tabelraster">
    <w:name w:val="Table Grid"/>
    <w:basedOn w:val="Standaardtabel"/>
    <w:uiPriority w:val="59"/>
    <w:rsid w:val="00726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link w:val="VoetnoottekstChar"/>
    <w:uiPriority w:val="99"/>
    <w:semiHidden/>
    <w:unhideWhenUsed/>
    <w:rsid w:val="00C779DD"/>
    <w:pPr>
      <w:spacing w:after="0"/>
    </w:pPr>
    <w:rPr>
      <w:sz w:val="20"/>
      <w:szCs w:val="20"/>
    </w:rPr>
  </w:style>
  <w:style w:type="character" w:customStyle="1" w:styleId="VoetnoottekstChar">
    <w:name w:val="Voetnoottekst Char"/>
    <w:basedOn w:val="Standaardalinea-lettertype"/>
    <w:link w:val="Voetnoottekst"/>
    <w:uiPriority w:val="99"/>
    <w:semiHidden/>
    <w:rsid w:val="00C779DD"/>
    <w:rPr>
      <w:sz w:val="20"/>
      <w:szCs w:val="20"/>
    </w:rPr>
  </w:style>
  <w:style w:type="character" w:styleId="Voetnootmarkering">
    <w:name w:val="footnote reference"/>
    <w:basedOn w:val="Standaardalinea-lettertype"/>
    <w:uiPriority w:val="99"/>
    <w:semiHidden/>
    <w:unhideWhenUsed/>
    <w:rsid w:val="00C779DD"/>
    <w:rPr>
      <w:vertAlign w:val="superscript"/>
    </w:rPr>
  </w:style>
  <w:style w:type="character" w:styleId="Hyperlink">
    <w:name w:val="Hyperlink"/>
    <w:basedOn w:val="Standaardalinea-lettertype"/>
    <w:uiPriority w:val="99"/>
    <w:unhideWhenUsed/>
    <w:rsid w:val="00C779D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image001.png"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nibud.nl/beroepsmatig/nibud-luidt-noodklok-kwart-van-de-huurders-zit-financieel-klem/" TargetMode="External"/><Relationship Id="rId1" Type="http://schemas.openxmlformats.org/officeDocument/2006/relationships/hyperlink" Target="https://www.rtlnieuws.nl/nieuws/nederland/artikel/4405566/huurprijzen-fors-gestegen-zelfs-harder-dan-de-inflati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679D0C-F8C3-4548-A698-3DE544337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427</Words>
  <Characters>2353</Characters>
  <Application>Microsoft Office Word</Application>
  <DocSecurity>4</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Katinka Coenen</dc:creator>
  <cp:keywords/>
  <dc:description/>
  <cp:lastModifiedBy>Conrad-Smit, AJA (Antoinette)</cp:lastModifiedBy>
  <cp:revision>2</cp:revision>
  <dcterms:created xsi:type="dcterms:W3CDTF">2020-06-04T06:47:00Z</dcterms:created>
  <dcterms:modified xsi:type="dcterms:W3CDTF">2020-06-04T06:47:00Z</dcterms:modified>
</cp:coreProperties>
</file>