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964"/>
        <w:gridCol w:w="5676"/>
      </w:tblGrid>
      <w:tr w:rsidR="0067018D" w:rsidRPr="002C231E" w:rsidTr="005D0724">
        <w:trPr>
          <w:trHeight w:hRule="exact" w:val="993"/>
        </w:trPr>
        <w:tc>
          <w:tcPr>
            <w:tcW w:w="2964" w:type="dxa"/>
            <w:tcBorders>
              <w:top w:val="nil"/>
              <w:left w:val="nil"/>
              <w:bottom w:val="nil"/>
              <w:right w:val="nil"/>
            </w:tcBorders>
          </w:tcPr>
          <w:p w:rsidR="0067018D" w:rsidRPr="002C231E" w:rsidRDefault="0067018D">
            <w:pPr>
              <w:spacing w:before="36"/>
              <w:ind w:right="396"/>
              <w:rPr>
                <w:rFonts w:ascii="Trebuchet MS" w:hAnsi="Trebuchet MS" w:cs="Trebuchet MS"/>
                <w:b/>
                <w:bCs/>
                <w:spacing w:val="-4"/>
                <w:w w:val="105"/>
                <w:sz w:val="22"/>
                <w:szCs w:val="22"/>
              </w:rPr>
            </w:pPr>
            <w:bookmarkStart w:id="0" w:name="_GoBack"/>
            <w:bookmarkEnd w:id="0"/>
            <w:r w:rsidRPr="002C231E">
              <w:rPr>
                <w:rFonts w:ascii="Trebuchet MS" w:hAnsi="Trebuchet MS" w:cs="Trebuchet MS"/>
                <w:b/>
                <w:bCs/>
                <w:spacing w:val="-4"/>
                <w:w w:val="105"/>
                <w:sz w:val="22"/>
                <w:szCs w:val="22"/>
              </w:rPr>
              <w:t xml:space="preserve">G R I F </w:t>
            </w:r>
            <w:proofErr w:type="spellStart"/>
            <w:r w:rsidRPr="002C231E">
              <w:rPr>
                <w:rFonts w:ascii="Trebuchet MS" w:hAnsi="Trebuchet MS" w:cs="Trebuchet MS"/>
                <w:b/>
                <w:bCs/>
                <w:spacing w:val="-4"/>
                <w:w w:val="105"/>
                <w:sz w:val="22"/>
                <w:szCs w:val="22"/>
              </w:rPr>
              <w:t>F</w:t>
            </w:r>
            <w:proofErr w:type="spellEnd"/>
            <w:r w:rsidRPr="002C231E">
              <w:rPr>
                <w:rFonts w:ascii="Trebuchet MS" w:hAnsi="Trebuchet MS" w:cs="Trebuchet MS"/>
                <w:b/>
                <w:bCs/>
                <w:spacing w:val="-4"/>
                <w:w w:val="105"/>
                <w:sz w:val="22"/>
                <w:szCs w:val="22"/>
              </w:rPr>
              <w:t xml:space="preserve"> I E B U R E A U GEMEENTE * BRUNSSUM</w:t>
            </w:r>
          </w:p>
        </w:tc>
        <w:tc>
          <w:tcPr>
            <w:tcW w:w="5676" w:type="dxa"/>
            <w:tcBorders>
              <w:top w:val="nil"/>
              <w:left w:val="nil"/>
              <w:bottom w:val="nil"/>
              <w:right w:val="nil"/>
            </w:tcBorders>
            <w:vAlign w:val="center"/>
          </w:tcPr>
          <w:p w:rsidR="0067018D" w:rsidRPr="002C231E" w:rsidRDefault="0067018D">
            <w:pPr>
              <w:ind w:right="2040"/>
              <w:jc w:val="right"/>
              <w:rPr>
                <w:b/>
                <w:bCs/>
                <w:sz w:val="96"/>
                <w:szCs w:val="96"/>
              </w:rPr>
            </w:pPr>
            <w:r w:rsidRPr="002C231E">
              <w:rPr>
                <w:b/>
                <w:bCs/>
                <w:sz w:val="96"/>
                <w:szCs w:val="96"/>
              </w:rPr>
              <w:t>MOTIE</w:t>
            </w:r>
          </w:p>
          <w:p w:rsidR="005D0724" w:rsidRPr="002C231E" w:rsidRDefault="005D0724">
            <w:pPr>
              <w:ind w:right="2040"/>
              <w:jc w:val="right"/>
              <w:rPr>
                <w:b/>
                <w:bCs/>
                <w:sz w:val="96"/>
                <w:szCs w:val="96"/>
              </w:rPr>
            </w:pPr>
          </w:p>
          <w:p w:rsidR="005D0724" w:rsidRPr="002C231E" w:rsidRDefault="005D0724">
            <w:pPr>
              <w:ind w:right="2040"/>
              <w:jc w:val="right"/>
              <w:rPr>
                <w:b/>
                <w:bCs/>
                <w:sz w:val="96"/>
                <w:szCs w:val="96"/>
              </w:rPr>
            </w:pPr>
          </w:p>
          <w:p w:rsidR="005D0724" w:rsidRPr="002C231E" w:rsidRDefault="005D0724">
            <w:pPr>
              <w:ind w:right="2040"/>
              <w:jc w:val="right"/>
              <w:rPr>
                <w:b/>
                <w:bCs/>
                <w:sz w:val="96"/>
                <w:szCs w:val="96"/>
              </w:rPr>
            </w:pPr>
          </w:p>
        </w:tc>
      </w:tr>
    </w:tbl>
    <w:p w:rsidR="0067018D" w:rsidRDefault="0067018D">
      <w:pPr>
        <w:spacing w:after="196" w:line="20" w:lineRule="exact"/>
      </w:pPr>
    </w:p>
    <w:tbl>
      <w:tblPr>
        <w:tblW w:w="8578" w:type="dxa"/>
        <w:tblInd w:w="6" w:type="dxa"/>
        <w:tblLayout w:type="fixed"/>
        <w:tblCellMar>
          <w:left w:w="0" w:type="dxa"/>
          <w:right w:w="0" w:type="dxa"/>
        </w:tblCellMar>
        <w:tblLook w:val="0000" w:firstRow="0" w:lastRow="0" w:firstColumn="0" w:lastColumn="0" w:noHBand="0" w:noVBand="0"/>
      </w:tblPr>
      <w:tblGrid>
        <w:gridCol w:w="1608"/>
        <w:gridCol w:w="6896"/>
        <w:gridCol w:w="20"/>
        <w:gridCol w:w="54"/>
      </w:tblGrid>
      <w:tr w:rsidR="0067018D" w:rsidRPr="002C231E" w:rsidTr="00A4308E">
        <w:trPr>
          <w:trHeight w:hRule="exact" w:val="725"/>
        </w:trPr>
        <w:tc>
          <w:tcPr>
            <w:tcW w:w="1608" w:type="dxa"/>
            <w:tcBorders>
              <w:top w:val="single" w:sz="4" w:space="0" w:color="auto"/>
              <w:left w:val="single" w:sz="4" w:space="0" w:color="auto"/>
              <w:bottom w:val="single" w:sz="4" w:space="0" w:color="auto"/>
              <w:right w:val="single" w:sz="4" w:space="0" w:color="auto"/>
            </w:tcBorders>
          </w:tcPr>
          <w:p w:rsidR="0067018D" w:rsidRPr="002C231E" w:rsidRDefault="0067018D">
            <w:pPr>
              <w:ind w:right="216"/>
              <w:jc w:val="both"/>
              <w:rPr>
                <w:w w:val="105"/>
                <w:sz w:val="20"/>
                <w:szCs w:val="20"/>
              </w:rPr>
            </w:pPr>
            <w:r w:rsidRPr="002C231E">
              <w:rPr>
                <w:spacing w:val="-6"/>
                <w:w w:val="105"/>
                <w:sz w:val="20"/>
                <w:szCs w:val="20"/>
              </w:rPr>
              <w:t xml:space="preserve">Ingevolge artikel </w:t>
            </w:r>
            <w:r w:rsidRPr="002C231E">
              <w:rPr>
                <w:spacing w:val="-8"/>
                <w:w w:val="105"/>
                <w:sz w:val="20"/>
                <w:szCs w:val="20"/>
              </w:rPr>
              <w:t xml:space="preserve">36 reglement van </w:t>
            </w:r>
            <w:r w:rsidRPr="002C231E">
              <w:rPr>
                <w:w w:val="105"/>
                <w:sz w:val="20"/>
                <w:szCs w:val="20"/>
              </w:rPr>
              <w:t>orde</w:t>
            </w:r>
          </w:p>
        </w:tc>
        <w:tc>
          <w:tcPr>
            <w:tcW w:w="6970" w:type="dxa"/>
            <w:gridSpan w:val="3"/>
            <w:tcBorders>
              <w:top w:val="single" w:sz="4" w:space="0" w:color="auto"/>
              <w:left w:val="single" w:sz="4" w:space="0" w:color="auto"/>
              <w:bottom w:val="single" w:sz="4" w:space="0" w:color="auto"/>
              <w:right w:val="single" w:sz="4" w:space="0" w:color="auto"/>
            </w:tcBorders>
          </w:tcPr>
          <w:p w:rsidR="0067018D" w:rsidRPr="002C231E" w:rsidRDefault="0067018D">
            <w:pPr>
              <w:ind w:right="36"/>
              <w:rPr>
                <w:spacing w:val="-4"/>
                <w:w w:val="105"/>
                <w:sz w:val="20"/>
                <w:szCs w:val="20"/>
              </w:rPr>
            </w:pPr>
            <w:r w:rsidRPr="002C231E">
              <w:rPr>
                <w:spacing w:val="-7"/>
                <w:w w:val="105"/>
                <w:sz w:val="20"/>
                <w:szCs w:val="20"/>
              </w:rPr>
              <w:t xml:space="preserve">Korte en gemotiveerde verklaring over een onderwerp, waardoor een oordeel, wens of </w:t>
            </w:r>
            <w:r w:rsidRPr="002C231E">
              <w:rPr>
                <w:spacing w:val="-4"/>
                <w:w w:val="105"/>
                <w:sz w:val="20"/>
                <w:szCs w:val="20"/>
              </w:rPr>
              <w:t>verzoek wordt uitgesproken zonder dat daaraan rechtsgevolgen zijn verbonden.</w:t>
            </w:r>
          </w:p>
        </w:tc>
      </w:tr>
      <w:tr w:rsidR="0067018D" w:rsidRPr="002C231E" w:rsidTr="00A4308E">
        <w:trPr>
          <w:trHeight w:hRule="exact" w:val="398"/>
        </w:trPr>
        <w:tc>
          <w:tcPr>
            <w:tcW w:w="1608" w:type="dxa"/>
            <w:tcBorders>
              <w:top w:val="single" w:sz="4" w:space="0" w:color="auto"/>
              <w:left w:val="single" w:sz="4" w:space="0" w:color="auto"/>
              <w:bottom w:val="single" w:sz="4" w:space="0" w:color="auto"/>
              <w:right w:val="single" w:sz="4" w:space="0" w:color="auto"/>
            </w:tcBorders>
            <w:vAlign w:val="center"/>
          </w:tcPr>
          <w:p w:rsidR="0067018D" w:rsidRPr="002C231E" w:rsidRDefault="0067018D">
            <w:pPr>
              <w:ind w:left="5"/>
              <w:rPr>
                <w:w w:val="105"/>
                <w:sz w:val="20"/>
                <w:szCs w:val="20"/>
              </w:rPr>
            </w:pPr>
            <w:r w:rsidRPr="002C231E">
              <w:rPr>
                <w:w w:val="105"/>
                <w:sz w:val="20"/>
                <w:szCs w:val="20"/>
              </w:rPr>
              <w:t>Nummer:</w:t>
            </w:r>
          </w:p>
        </w:tc>
        <w:tc>
          <w:tcPr>
            <w:tcW w:w="6896" w:type="dxa"/>
            <w:tcBorders>
              <w:top w:val="single" w:sz="4" w:space="0" w:color="auto"/>
              <w:left w:val="single" w:sz="4" w:space="0" w:color="auto"/>
              <w:bottom w:val="single" w:sz="4" w:space="0" w:color="auto"/>
              <w:right w:val="nil"/>
            </w:tcBorders>
          </w:tcPr>
          <w:p w:rsidR="0067018D" w:rsidRPr="002C231E" w:rsidRDefault="0067018D"/>
        </w:tc>
        <w:tc>
          <w:tcPr>
            <w:tcW w:w="20" w:type="dxa"/>
            <w:tcBorders>
              <w:top w:val="single" w:sz="4" w:space="0" w:color="auto"/>
              <w:left w:val="nil"/>
              <w:bottom w:val="single" w:sz="4" w:space="0" w:color="auto"/>
              <w:right w:val="nil"/>
            </w:tcBorders>
          </w:tcPr>
          <w:p w:rsidR="0067018D" w:rsidRPr="002C231E" w:rsidRDefault="0067018D"/>
        </w:tc>
        <w:tc>
          <w:tcPr>
            <w:tcW w:w="54" w:type="dxa"/>
            <w:tcBorders>
              <w:top w:val="single" w:sz="4" w:space="0" w:color="auto"/>
              <w:left w:val="nil"/>
              <w:bottom w:val="single" w:sz="4" w:space="0" w:color="auto"/>
              <w:right w:val="single" w:sz="4" w:space="0" w:color="auto"/>
            </w:tcBorders>
            <w:vAlign w:val="bottom"/>
          </w:tcPr>
          <w:p w:rsidR="0067018D" w:rsidRPr="002C231E" w:rsidRDefault="0067018D">
            <w:pPr>
              <w:spacing w:before="144"/>
              <w:jc w:val="center"/>
              <w:rPr>
                <w:spacing w:val="-7"/>
                <w:w w:val="110"/>
                <w:sz w:val="16"/>
                <w:szCs w:val="16"/>
              </w:rPr>
            </w:pPr>
            <w:r w:rsidRPr="002C231E">
              <w:rPr>
                <w:spacing w:val="-7"/>
                <w:w w:val="110"/>
                <w:sz w:val="16"/>
                <w:szCs w:val="16"/>
              </w:rPr>
              <w:t>(in te vullen door griffier)</w:t>
            </w:r>
          </w:p>
        </w:tc>
      </w:tr>
      <w:tr w:rsidR="0067018D" w:rsidRPr="002C231E" w:rsidTr="00A4308E">
        <w:trPr>
          <w:trHeight w:hRule="exact" w:val="642"/>
        </w:trPr>
        <w:tc>
          <w:tcPr>
            <w:tcW w:w="1608" w:type="dxa"/>
            <w:tcBorders>
              <w:top w:val="single" w:sz="4" w:space="0" w:color="auto"/>
              <w:left w:val="single" w:sz="4" w:space="0" w:color="auto"/>
              <w:bottom w:val="single" w:sz="4" w:space="0" w:color="auto"/>
              <w:right w:val="single" w:sz="4" w:space="0" w:color="auto"/>
            </w:tcBorders>
            <w:vAlign w:val="center"/>
          </w:tcPr>
          <w:p w:rsidR="0067018D" w:rsidRPr="002C231E" w:rsidRDefault="0067018D">
            <w:pPr>
              <w:ind w:left="5"/>
              <w:rPr>
                <w:w w:val="105"/>
                <w:sz w:val="20"/>
                <w:szCs w:val="20"/>
              </w:rPr>
            </w:pPr>
            <w:r w:rsidRPr="002C231E">
              <w:rPr>
                <w:w w:val="105"/>
                <w:sz w:val="20"/>
                <w:szCs w:val="20"/>
              </w:rPr>
              <w:t>Fractie:</w:t>
            </w:r>
          </w:p>
        </w:tc>
        <w:tc>
          <w:tcPr>
            <w:tcW w:w="6896" w:type="dxa"/>
            <w:tcBorders>
              <w:top w:val="single" w:sz="4" w:space="0" w:color="auto"/>
              <w:left w:val="single" w:sz="4" w:space="0" w:color="auto"/>
              <w:bottom w:val="single" w:sz="4" w:space="0" w:color="auto"/>
              <w:right w:val="nil"/>
            </w:tcBorders>
          </w:tcPr>
          <w:p w:rsidR="0067018D" w:rsidRPr="002C231E" w:rsidRDefault="0067018D" w:rsidP="0067018D"/>
        </w:tc>
        <w:tc>
          <w:tcPr>
            <w:tcW w:w="20" w:type="dxa"/>
            <w:tcBorders>
              <w:top w:val="single" w:sz="4" w:space="0" w:color="auto"/>
              <w:left w:val="nil"/>
              <w:bottom w:val="single" w:sz="4" w:space="0" w:color="auto"/>
              <w:right w:val="nil"/>
            </w:tcBorders>
          </w:tcPr>
          <w:p w:rsidR="0067018D" w:rsidRPr="002C231E" w:rsidRDefault="0067018D"/>
        </w:tc>
        <w:tc>
          <w:tcPr>
            <w:tcW w:w="54" w:type="dxa"/>
            <w:tcBorders>
              <w:top w:val="single" w:sz="4" w:space="0" w:color="auto"/>
              <w:left w:val="nil"/>
              <w:bottom w:val="single" w:sz="4" w:space="0" w:color="auto"/>
              <w:right w:val="single" w:sz="4" w:space="0" w:color="auto"/>
            </w:tcBorders>
          </w:tcPr>
          <w:p w:rsidR="0067018D" w:rsidRPr="002C231E" w:rsidRDefault="0067018D"/>
        </w:tc>
      </w:tr>
      <w:tr w:rsidR="0067018D" w:rsidRPr="002C231E" w:rsidTr="00A4308E">
        <w:trPr>
          <w:trHeight w:hRule="exact" w:val="404"/>
        </w:trPr>
        <w:tc>
          <w:tcPr>
            <w:tcW w:w="1608" w:type="dxa"/>
            <w:tcBorders>
              <w:top w:val="single" w:sz="4" w:space="0" w:color="auto"/>
              <w:left w:val="single" w:sz="4" w:space="0" w:color="auto"/>
              <w:bottom w:val="single" w:sz="4" w:space="0" w:color="auto"/>
              <w:right w:val="single" w:sz="4" w:space="0" w:color="auto"/>
            </w:tcBorders>
            <w:vAlign w:val="center"/>
          </w:tcPr>
          <w:p w:rsidR="0067018D" w:rsidRPr="002C231E" w:rsidRDefault="0067018D">
            <w:pPr>
              <w:ind w:left="5"/>
              <w:rPr>
                <w:spacing w:val="-4"/>
                <w:w w:val="105"/>
                <w:sz w:val="20"/>
                <w:szCs w:val="20"/>
              </w:rPr>
            </w:pPr>
            <w:r w:rsidRPr="002C231E">
              <w:rPr>
                <w:spacing w:val="-4"/>
                <w:w w:val="105"/>
                <w:sz w:val="20"/>
                <w:szCs w:val="20"/>
              </w:rPr>
              <w:t>Raadsvergadering:</w:t>
            </w:r>
          </w:p>
        </w:tc>
        <w:tc>
          <w:tcPr>
            <w:tcW w:w="6896" w:type="dxa"/>
            <w:tcBorders>
              <w:top w:val="single" w:sz="4" w:space="0" w:color="auto"/>
              <w:left w:val="single" w:sz="4" w:space="0" w:color="auto"/>
              <w:bottom w:val="single" w:sz="4" w:space="0" w:color="auto"/>
              <w:right w:val="nil"/>
            </w:tcBorders>
          </w:tcPr>
          <w:p w:rsidR="0067018D" w:rsidRPr="002C231E" w:rsidRDefault="007009FA">
            <w:r>
              <w:t xml:space="preserve"> 26 mei 2020</w:t>
            </w:r>
          </w:p>
        </w:tc>
        <w:tc>
          <w:tcPr>
            <w:tcW w:w="20" w:type="dxa"/>
            <w:tcBorders>
              <w:top w:val="single" w:sz="4" w:space="0" w:color="auto"/>
              <w:left w:val="nil"/>
              <w:bottom w:val="single" w:sz="4" w:space="0" w:color="auto"/>
              <w:right w:val="nil"/>
            </w:tcBorders>
          </w:tcPr>
          <w:p w:rsidR="0067018D" w:rsidRPr="002C231E" w:rsidRDefault="0067018D"/>
        </w:tc>
        <w:tc>
          <w:tcPr>
            <w:tcW w:w="54" w:type="dxa"/>
            <w:tcBorders>
              <w:top w:val="single" w:sz="4" w:space="0" w:color="auto"/>
              <w:left w:val="nil"/>
              <w:bottom w:val="single" w:sz="4" w:space="0" w:color="auto"/>
              <w:right w:val="single" w:sz="4" w:space="0" w:color="auto"/>
            </w:tcBorders>
          </w:tcPr>
          <w:p w:rsidR="0067018D" w:rsidRPr="002C231E" w:rsidRDefault="0067018D"/>
        </w:tc>
      </w:tr>
      <w:tr w:rsidR="0067018D" w:rsidRPr="002C231E" w:rsidTr="00A4308E">
        <w:trPr>
          <w:trHeight w:hRule="exact" w:val="403"/>
        </w:trPr>
        <w:tc>
          <w:tcPr>
            <w:tcW w:w="1608" w:type="dxa"/>
            <w:tcBorders>
              <w:top w:val="single" w:sz="4" w:space="0" w:color="auto"/>
              <w:left w:val="single" w:sz="4" w:space="0" w:color="auto"/>
              <w:bottom w:val="single" w:sz="4" w:space="0" w:color="auto"/>
              <w:right w:val="single" w:sz="4" w:space="0" w:color="auto"/>
            </w:tcBorders>
            <w:vAlign w:val="center"/>
          </w:tcPr>
          <w:p w:rsidR="0067018D" w:rsidRPr="002C231E" w:rsidRDefault="0067018D">
            <w:pPr>
              <w:ind w:left="5"/>
              <w:rPr>
                <w:spacing w:val="-4"/>
                <w:w w:val="105"/>
                <w:sz w:val="20"/>
                <w:szCs w:val="20"/>
              </w:rPr>
            </w:pPr>
            <w:r w:rsidRPr="002C231E">
              <w:rPr>
                <w:spacing w:val="-4"/>
                <w:w w:val="105"/>
                <w:sz w:val="20"/>
                <w:szCs w:val="20"/>
              </w:rPr>
              <w:t>Gemeentebladnr.:</w:t>
            </w:r>
          </w:p>
        </w:tc>
        <w:tc>
          <w:tcPr>
            <w:tcW w:w="6896" w:type="dxa"/>
            <w:tcBorders>
              <w:top w:val="single" w:sz="4" w:space="0" w:color="auto"/>
              <w:left w:val="single" w:sz="4" w:space="0" w:color="auto"/>
              <w:bottom w:val="single" w:sz="4" w:space="0" w:color="auto"/>
              <w:right w:val="nil"/>
            </w:tcBorders>
          </w:tcPr>
          <w:p w:rsidR="0067018D" w:rsidRPr="002C231E" w:rsidRDefault="00745429" w:rsidP="002F4931">
            <w:r w:rsidRPr="002C231E">
              <w:t xml:space="preserve"> </w:t>
            </w:r>
            <w:r w:rsidR="007009FA">
              <w:t>Motie vreemd aan de orde van de dag</w:t>
            </w:r>
          </w:p>
        </w:tc>
        <w:tc>
          <w:tcPr>
            <w:tcW w:w="20" w:type="dxa"/>
            <w:tcBorders>
              <w:top w:val="single" w:sz="4" w:space="0" w:color="auto"/>
              <w:left w:val="nil"/>
              <w:bottom w:val="single" w:sz="4" w:space="0" w:color="auto"/>
              <w:right w:val="nil"/>
            </w:tcBorders>
          </w:tcPr>
          <w:p w:rsidR="0067018D" w:rsidRPr="002C231E" w:rsidRDefault="0067018D"/>
        </w:tc>
        <w:tc>
          <w:tcPr>
            <w:tcW w:w="54" w:type="dxa"/>
            <w:tcBorders>
              <w:top w:val="single" w:sz="4" w:space="0" w:color="auto"/>
              <w:left w:val="nil"/>
              <w:bottom w:val="single" w:sz="4" w:space="0" w:color="auto"/>
              <w:right w:val="single" w:sz="4" w:space="0" w:color="auto"/>
            </w:tcBorders>
          </w:tcPr>
          <w:p w:rsidR="0067018D" w:rsidRPr="002C231E" w:rsidRDefault="0067018D"/>
        </w:tc>
      </w:tr>
      <w:tr w:rsidR="0067018D" w:rsidRPr="002C231E" w:rsidTr="007009FA">
        <w:trPr>
          <w:trHeight w:hRule="exact" w:val="9976"/>
        </w:trPr>
        <w:tc>
          <w:tcPr>
            <w:tcW w:w="8504" w:type="dxa"/>
            <w:gridSpan w:val="2"/>
            <w:tcBorders>
              <w:top w:val="single" w:sz="4" w:space="0" w:color="auto"/>
              <w:left w:val="single" w:sz="4" w:space="0" w:color="auto"/>
              <w:bottom w:val="single" w:sz="4" w:space="0" w:color="auto"/>
              <w:right w:val="nil"/>
            </w:tcBorders>
          </w:tcPr>
          <w:p w:rsidR="007009FA" w:rsidRDefault="0067018D" w:rsidP="007009FA">
            <w:pPr>
              <w:ind w:left="5"/>
              <w:rPr>
                <w:w w:val="105"/>
                <w:sz w:val="22"/>
                <w:szCs w:val="22"/>
              </w:rPr>
            </w:pPr>
            <w:r w:rsidRPr="009E541E">
              <w:rPr>
                <w:w w:val="105"/>
                <w:sz w:val="22"/>
                <w:szCs w:val="22"/>
              </w:rPr>
              <w:t>Onderwerp:</w:t>
            </w:r>
            <w:r w:rsidR="00745429" w:rsidRPr="009E541E">
              <w:rPr>
                <w:w w:val="105"/>
                <w:sz w:val="22"/>
                <w:szCs w:val="22"/>
              </w:rPr>
              <w:t xml:space="preserve"> </w:t>
            </w:r>
            <w:r w:rsidR="007009FA" w:rsidRPr="007009FA">
              <w:rPr>
                <w:w w:val="105"/>
                <w:sz w:val="22"/>
                <w:szCs w:val="22"/>
              </w:rPr>
              <w:t>Behoud autonomie lokale rekenkamer(functie)s</w:t>
            </w:r>
            <w:r w:rsidR="007009FA">
              <w:rPr>
                <w:w w:val="105"/>
                <w:sz w:val="22"/>
                <w:szCs w:val="22"/>
              </w:rPr>
              <w:t xml:space="preserve"> </w:t>
            </w:r>
          </w:p>
          <w:p w:rsidR="007009FA" w:rsidRDefault="007009FA" w:rsidP="007009FA">
            <w:pPr>
              <w:ind w:left="5"/>
              <w:rPr>
                <w:w w:val="105"/>
                <w:sz w:val="22"/>
                <w:szCs w:val="22"/>
              </w:rPr>
            </w:pPr>
          </w:p>
          <w:p w:rsidR="007009FA" w:rsidRDefault="007009FA" w:rsidP="007009FA">
            <w:pPr>
              <w:ind w:left="5"/>
              <w:rPr>
                <w:spacing w:val="-6"/>
                <w:w w:val="105"/>
                <w:sz w:val="22"/>
                <w:szCs w:val="22"/>
              </w:rPr>
            </w:pPr>
          </w:p>
          <w:p w:rsidR="0067018D" w:rsidRPr="009E541E" w:rsidRDefault="0067018D" w:rsidP="007009FA">
            <w:pPr>
              <w:ind w:left="5"/>
              <w:rPr>
                <w:w w:val="105"/>
                <w:sz w:val="22"/>
                <w:szCs w:val="22"/>
              </w:rPr>
            </w:pPr>
            <w:r w:rsidRPr="009E541E">
              <w:rPr>
                <w:spacing w:val="-6"/>
                <w:w w:val="105"/>
                <w:sz w:val="22"/>
                <w:szCs w:val="22"/>
              </w:rPr>
              <w:t>De raad bijeen op</w:t>
            </w:r>
            <w:r w:rsidR="002F4931" w:rsidRPr="009E541E">
              <w:rPr>
                <w:w w:val="105"/>
                <w:sz w:val="22"/>
                <w:szCs w:val="22"/>
              </w:rPr>
              <w:t xml:space="preserve"> </w:t>
            </w:r>
            <w:r w:rsidR="007009FA">
              <w:rPr>
                <w:w w:val="105"/>
                <w:sz w:val="22"/>
                <w:szCs w:val="22"/>
              </w:rPr>
              <w:t>26 mei 2020</w:t>
            </w:r>
            <w:r w:rsidR="002F4931" w:rsidRPr="009E541E">
              <w:rPr>
                <w:w w:val="105"/>
                <w:sz w:val="22"/>
                <w:szCs w:val="22"/>
              </w:rPr>
              <w:t>,</w:t>
            </w:r>
          </w:p>
          <w:p w:rsidR="007009FA" w:rsidRDefault="007009FA" w:rsidP="00794AB5"/>
          <w:p w:rsidR="007009FA" w:rsidRDefault="007009FA" w:rsidP="00794AB5"/>
          <w:p w:rsidR="00794AB5" w:rsidRDefault="00794AB5" w:rsidP="00794AB5">
            <w:r>
              <w:t>Geconstateerd wordt dat,</w:t>
            </w:r>
          </w:p>
          <w:p w:rsidR="007009FA" w:rsidRPr="007009FA" w:rsidRDefault="007009FA" w:rsidP="007009FA">
            <w:pPr>
              <w:numPr>
                <w:ilvl w:val="0"/>
                <w:numId w:val="4"/>
              </w:numPr>
              <w:autoSpaceDE w:val="0"/>
              <w:autoSpaceDN w:val="0"/>
              <w:adjustRightInd w:val="0"/>
              <w:rPr>
                <w:rFonts w:eastAsia="Calibri"/>
                <w:lang w:eastAsia="en-US"/>
              </w:rPr>
            </w:pPr>
            <w:r w:rsidRPr="007009FA">
              <w:rPr>
                <w:rFonts w:eastAsia="Calibri"/>
                <w:lang w:eastAsia="en-US"/>
              </w:rPr>
              <w:t xml:space="preserve">De Minister van Binnenlandse Zaken en Koninkrijksrelaties een nieuwe wet op de lokale Rekenkamers voorbereid heeft. </w:t>
            </w:r>
          </w:p>
          <w:p w:rsidR="007009FA" w:rsidRPr="007009FA" w:rsidRDefault="007009FA" w:rsidP="007009FA">
            <w:pPr>
              <w:numPr>
                <w:ilvl w:val="0"/>
                <w:numId w:val="4"/>
              </w:numPr>
              <w:autoSpaceDE w:val="0"/>
              <w:autoSpaceDN w:val="0"/>
              <w:adjustRightInd w:val="0"/>
              <w:rPr>
                <w:rFonts w:eastAsia="Calibri"/>
                <w:lang w:eastAsia="en-US"/>
              </w:rPr>
            </w:pPr>
            <w:r w:rsidRPr="007009FA">
              <w:rPr>
                <w:rFonts w:eastAsia="Calibri"/>
                <w:lang w:eastAsia="en-US"/>
              </w:rPr>
              <w:t xml:space="preserve">De Minister de rekenkamerfunctie wil afschaffen, zodat raadsleden geen lid (onderzoekend of adviserend) meer mogen zijn van de (lokale) rekenkamer. Dit voornemen vooral gestoeld is op het feit dat er in Nederland 50 zgn. slapende rekenkamers zijn. </w:t>
            </w:r>
          </w:p>
          <w:p w:rsidR="007009FA" w:rsidRPr="007009FA" w:rsidRDefault="007009FA" w:rsidP="007009FA">
            <w:pPr>
              <w:numPr>
                <w:ilvl w:val="0"/>
                <w:numId w:val="4"/>
              </w:numPr>
              <w:autoSpaceDE w:val="0"/>
              <w:autoSpaceDN w:val="0"/>
              <w:adjustRightInd w:val="0"/>
              <w:rPr>
                <w:rFonts w:eastAsia="Calibri"/>
                <w:lang w:eastAsia="en-US"/>
              </w:rPr>
            </w:pPr>
            <w:r w:rsidRPr="007009FA">
              <w:rPr>
                <w:rFonts w:eastAsia="Calibri"/>
                <w:lang w:eastAsia="en-US"/>
              </w:rPr>
              <w:t xml:space="preserve">De overige 305 Nederlandse gemeenten goed functionerende rekenkamer(functie)s hebben. De Minister deze slapende rekenkamers met de nieuwe wet wil dwingen om maatregelen te nemen om de lokale rekenkamer leven in te blazen. </w:t>
            </w:r>
          </w:p>
          <w:p w:rsidR="007009FA" w:rsidRPr="007009FA" w:rsidRDefault="007009FA" w:rsidP="007009FA">
            <w:pPr>
              <w:numPr>
                <w:ilvl w:val="0"/>
                <w:numId w:val="4"/>
              </w:numPr>
              <w:autoSpaceDE w:val="0"/>
              <w:autoSpaceDN w:val="0"/>
              <w:adjustRightInd w:val="0"/>
              <w:rPr>
                <w:rFonts w:eastAsia="Calibri"/>
                <w:lang w:eastAsia="en-US"/>
              </w:rPr>
            </w:pPr>
            <w:r w:rsidRPr="007009FA">
              <w:rPr>
                <w:rFonts w:eastAsia="Calibri"/>
                <w:lang w:eastAsia="en-US"/>
              </w:rPr>
              <w:t xml:space="preserve">Een wetswijziging zonder gemeentelijk draagvlak de relatie rekenkamer versus raad niet ten goede zal komen. </w:t>
            </w:r>
          </w:p>
          <w:p w:rsidR="007009FA" w:rsidRPr="007009FA" w:rsidRDefault="007009FA" w:rsidP="007009FA">
            <w:pPr>
              <w:numPr>
                <w:ilvl w:val="0"/>
                <w:numId w:val="4"/>
              </w:numPr>
              <w:autoSpaceDE w:val="0"/>
              <w:autoSpaceDN w:val="0"/>
              <w:adjustRightInd w:val="0"/>
              <w:rPr>
                <w:rFonts w:eastAsia="Calibri"/>
                <w:lang w:eastAsia="en-US"/>
              </w:rPr>
            </w:pPr>
            <w:r w:rsidRPr="007009FA">
              <w:rPr>
                <w:rFonts w:eastAsia="Calibri"/>
                <w:lang w:eastAsia="en-US"/>
              </w:rPr>
              <w:t xml:space="preserve">De VNG geen voorstander is van genoemde wetswijziging. </w:t>
            </w:r>
          </w:p>
          <w:p w:rsidR="007009FA" w:rsidRPr="007009FA" w:rsidRDefault="007009FA" w:rsidP="007009FA">
            <w:pPr>
              <w:numPr>
                <w:ilvl w:val="0"/>
                <w:numId w:val="4"/>
              </w:numPr>
              <w:autoSpaceDE w:val="0"/>
              <w:autoSpaceDN w:val="0"/>
              <w:adjustRightInd w:val="0"/>
              <w:rPr>
                <w:rFonts w:eastAsia="Calibri"/>
                <w:lang w:eastAsia="en-US"/>
              </w:rPr>
            </w:pPr>
            <w:r w:rsidRPr="007009FA">
              <w:rPr>
                <w:rFonts w:eastAsia="Calibri"/>
                <w:lang w:eastAsia="en-US"/>
              </w:rPr>
              <w:t xml:space="preserve">De Nederlandse Vereniging voor Raadsleden de Tweede Kamer oproept de lokale autonomie van gemeenteraden te erkennen bij hebt invullen van de lokale rekenkamer. </w:t>
            </w:r>
          </w:p>
          <w:p w:rsidR="007009FA" w:rsidRPr="007009FA" w:rsidRDefault="007009FA" w:rsidP="007009FA">
            <w:pPr>
              <w:numPr>
                <w:ilvl w:val="0"/>
                <w:numId w:val="4"/>
              </w:numPr>
              <w:autoSpaceDE w:val="0"/>
              <w:autoSpaceDN w:val="0"/>
              <w:adjustRightInd w:val="0"/>
              <w:rPr>
                <w:rFonts w:eastAsia="Calibri"/>
                <w:lang w:eastAsia="en-US"/>
              </w:rPr>
            </w:pPr>
            <w:r w:rsidRPr="007009FA">
              <w:rPr>
                <w:rFonts w:eastAsia="Calibri"/>
                <w:lang w:eastAsia="en-US"/>
              </w:rPr>
              <w:t xml:space="preserve">Landelijk CDA, VVD en D66 grote vraagtekens zetten bij de voorgestelde wetswijziging. </w:t>
            </w:r>
          </w:p>
          <w:p w:rsidR="007009FA" w:rsidRPr="007009FA" w:rsidRDefault="007009FA" w:rsidP="007009FA">
            <w:pPr>
              <w:numPr>
                <w:ilvl w:val="0"/>
                <w:numId w:val="4"/>
              </w:numPr>
              <w:autoSpaceDE w:val="0"/>
              <w:autoSpaceDN w:val="0"/>
              <w:adjustRightInd w:val="0"/>
              <w:rPr>
                <w:rFonts w:eastAsia="Calibri"/>
                <w:lang w:eastAsia="en-US"/>
              </w:rPr>
            </w:pPr>
            <w:r w:rsidRPr="007009FA">
              <w:rPr>
                <w:rFonts w:eastAsia="Calibri"/>
                <w:lang w:eastAsia="en-US"/>
              </w:rPr>
              <w:t>Volgens de VNG er weinig steun is onder de gemeenten voor een dergelijke wetswijziging.</w:t>
            </w:r>
          </w:p>
          <w:p w:rsidR="001450AE" w:rsidRDefault="001450AE" w:rsidP="002F4931">
            <w:pPr>
              <w:autoSpaceDE w:val="0"/>
              <w:autoSpaceDN w:val="0"/>
              <w:adjustRightInd w:val="0"/>
              <w:rPr>
                <w:rFonts w:eastAsia="Calibri"/>
                <w:lang w:eastAsia="en-US"/>
              </w:rPr>
            </w:pPr>
          </w:p>
          <w:p w:rsidR="001450AE" w:rsidRDefault="001450AE" w:rsidP="002F4931">
            <w:pPr>
              <w:autoSpaceDE w:val="0"/>
              <w:autoSpaceDN w:val="0"/>
              <w:adjustRightInd w:val="0"/>
              <w:rPr>
                <w:rFonts w:eastAsia="Calibri"/>
                <w:lang w:eastAsia="en-US"/>
              </w:rPr>
            </w:pPr>
          </w:p>
          <w:p w:rsidR="002442FA" w:rsidRPr="009E541E" w:rsidRDefault="002442FA" w:rsidP="002F4931">
            <w:pPr>
              <w:widowControl/>
              <w:kinsoku/>
              <w:autoSpaceDE w:val="0"/>
              <w:autoSpaceDN w:val="0"/>
              <w:adjustRightInd w:val="0"/>
              <w:rPr>
                <w:rFonts w:eastAsia="Calibri"/>
                <w:sz w:val="22"/>
                <w:szCs w:val="22"/>
                <w:lang w:eastAsia="en-US"/>
              </w:rPr>
            </w:pPr>
          </w:p>
          <w:p w:rsidR="002442FA" w:rsidRDefault="002442FA" w:rsidP="002F4931">
            <w:pPr>
              <w:widowControl/>
              <w:kinsoku/>
              <w:autoSpaceDE w:val="0"/>
              <w:autoSpaceDN w:val="0"/>
              <w:adjustRightInd w:val="0"/>
              <w:rPr>
                <w:rFonts w:eastAsia="Calibri"/>
                <w:sz w:val="22"/>
                <w:szCs w:val="22"/>
                <w:lang w:eastAsia="en-US"/>
              </w:rPr>
            </w:pPr>
          </w:p>
          <w:p w:rsidR="0067018D" w:rsidRPr="002C231E" w:rsidRDefault="0067018D" w:rsidP="002F4931">
            <w:pPr>
              <w:widowControl/>
              <w:kinsoku/>
              <w:autoSpaceDE w:val="0"/>
              <w:autoSpaceDN w:val="0"/>
              <w:adjustRightInd w:val="0"/>
              <w:rPr>
                <w:spacing w:val="-3"/>
                <w:w w:val="105"/>
                <w:sz w:val="20"/>
                <w:szCs w:val="20"/>
              </w:rPr>
            </w:pPr>
          </w:p>
        </w:tc>
        <w:tc>
          <w:tcPr>
            <w:tcW w:w="20" w:type="dxa"/>
            <w:tcBorders>
              <w:top w:val="single" w:sz="4" w:space="0" w:color="auto"/>
              <w:left w:val="nil"/>
              <w:bottom w:val="single" w:sz="4" w:space="0" w:color="auto"/>
              <w:right w:val="nil"/>
            </w:tcBorders>
          </w:tcPr>
          <w:p w:rsidR="0067018D" w:rsidRPr="002C231E" w:rsidRDefault="0067018D" w:rsidP="00A4308E">
            <w:pPr>
              <w:ind w:left="142" w:hanging="142"/>
            </w:pPr>
          </w:p>
        </w:tc>
        <w:tc>
          <w:tcPr>
            <w:tcW w:w="54" w:type="dxa"/>
            <w:tcBorders>
              <w:top w:val="single" w:sz="4" w:space="0" w:color="auto"/>
              <w:left w:val="nil"/>
              <w:bottom w:val="single" w:sz="4" w:space="0" w:color="auto"/>
              <w:right w:val="single" w:sz="4" w:space="0" w:color="auto"/>
            </w:tcBorders>
          </w:tcPr>
          <w:p w:rsidR="0067018D" w:rsidRPr="002C231E" w:rsidRDefault="0067018D"/>
        </w:tc>
      </w:tr>
      <w:tr w:rsidR="007009FA" w:rsidRPr="002C231E" w:rsidTr="00A20B81">
        <w:trPr>
          <w:trHeight w:hRule="exact" w:val="6819"/>
        </w:trPr>
        <w:tc>
          <w:tcPr>
            <w:tcW w:w="8504" w:type="dxa"/>
            <w:gridSpan w:val="2"/>
            <w:tcBorders>
              <w:top w:val="single" w:sz="4" w:space="0" w:color="auto"/>
              <w:left w:val="single" w:sz="4" w:space="0" w:color="auto"/>
              <w:bottom w:val="single" w:sz="4" w:space="0" w:color="auto"/>
              <w:right w:val="nil"/>
            </w:tcBorders>
          </w:tcPr>
          <w:p w:rsidR="007009FA" w:rsidRPr="009E541E" w:rsidRDefault="007009FA" w:rsidP="007009FA">
            <w:pPr>
              <w:autoSpaceDE w:val="0"/>
              <w:autoSpaceDN w:val="0"/>
              <w:adjustRightInd w:val="0"/>
              <w:rPr>
                <w:rFonts w:eastAsia="Calibri"/>
                <w:lang w:eastAsia="en-US"/>
              </w:rPr>
            </w:pPr>
            <w:r w:rsidRPr="009E541E">
              <w:rPr>
                <w:rFonts w:eastAsia="Calibri"/>
                <w:lang w:eastAsia="en-US"/>
              </w:rPr>
              <w:lastRenderedPageBreak/>
              <w:t>overwegende,</w:t>
            </w:r>
          </w:p>
          <w:p w:rsidR="007009FA" w:rsidRPr="007009FA" w:rsidRDefault="007009FA" w:rsidP="007009FA">
            <w:pPr>
              <w:widowControl/>
              <w:numPr>
                <w:ilvl w:val="0"/>
                <w:numId w:val="4"/>
              </w:numPr>
              <w:kinsoku/>
              <w:autoSpaceDE w:val="0"/>
              <w:autoSpaceDN w:val="0"/>
              <w:adjustRightInd w:val="0"/>
              <w:rPr>
                <w:rFonts w:eastAsia="Calibri"/>
                <w:sz w:val="22"/>
                <w:szCs w:val="22"/>
                <w:lang w:eastAsia="en-US"/>
              </w:rPr>
            </w:pPr>
            <w:r w:rsidRPr="007009FA">
              <w:rPr>
                <w:rFonts w:eastAsia="Calibri"/>
                <w:sz w:val="22"/>
                <w:szCs w:val="22"/>
                <w:lang w:eastAsia="en-US"/>
              </w:rPr>
              <w:t xml:space="preserve">Het van belang is dat de verbinding tussen rekenkamer en raad o.a. door de aanwezige raadsleden tot stand gebracht wordt en blijft. </w:t>
            </w:r>
          </w:p>
          <w:p w:rsidR="007009FA" w:rsidRPr="007009FA" w:rsidRDefault="007009FA" w:rsidP="007009FA">
            <w:pPr>
              <w:widowControl/>
              <w:numPr>
                <w:ilvl w:val="0"/>
                <w:numId w:val="4"/>
              </w:numPr>
              <w:kinsoku/>
              <w:autoSpaceDE w:val="0"/>
              <w:autoSpaceDN w:val="0"/>
              <w:adjustRightInd w:val="0"/>
              <w:rPr>
                <w:rFonts w:eastAsia="Calibri"/>
                <w:sz w:val="22"/>
                <w:szCs w:val="22"/>
                <w:lang w:eastAsia="en-US"/>
              </w:rPr>
            </w:pPr>
            <w:r w:rsidRPr="007009FA">
              <w:rPr>
                <w:rFonts w:eastAsia="Calibri"/>
                <w:sz w:val="22"/>
                <w:szCs w:val="22"/>
                <w:lang w:eastAsia="en-US"/>
              </w:rPr>
              <w:t xml:space="preserve">Door de wetswijziging actieve participatie van raadsleden als rekenkamerlid wordt uitgesloten. </w:t>
            </w:r>
          </w:p>
          <w:p w:rsidR="007009FA" w:rsidRPr="007009FA" w:rsidRDefault="007009FA" w:rsidP="007009FA">
            <w:pPr>
              <w:widowControl/>
              <w:numPr>
                <w:ilvl w:val="0"/>
                <w:numId w:val="4"/>
              </w:numPr>
              <w:kinsoku/>
              <w:autoSpaceDE w:val="0"/>
              <w:autoSpaceDN w:val="0"/>
              <w:adjustRightInd w:val="0"/>
              <w:rPr>
                <w:rFonts w:eastAsia="Calibri"/>
                <w:sz w:val="22"/>
                <w:szCs w:val="22"/>
                <w:lang w:eastAsia="en-US"/>
              </w:rPr>
            </w:pPr>
            <w:r w:rsidRPr="007009FA">
              <w:rPr>
                <w:rFonts w:eastAsia="Calibri"/>
                <w:sz w:val="22"/>
                <w:szCs w:val="22"/>
                <w:lang w:eastAsia="en-US"/>
              </w:rPr>
              <w:t xml:space="preserve">De onafhankelijkheid van een rekenkamer betrekking heeft op het onderzoek en hangt niet af van de deelname van raadsleden. </w:t>
            </w:r>
          </w:p>
          <w:p w:rsidR="007009FA" w:rsidRPr="007009FA" w:rsidRDefault="007009FA" w:rsidP="007009FA">
            <w:pPr>
              <w:widowControl/>
              <w:numPr>
                <w:ilvl w:val="0"/>
                <w:numId w:val="4"/>
              </w:numPr>
              <w:kinsoku/>
              <w:autoSpaceDE w:val="0"/>
              <w:autoSpaceDN w:val="0"/>
              <w:adjustRightInd w:val="0"/>
              <w:rPr>
                <w:rFonts w:eastAsia="Calibri"/>
                <w:sz w:val="22"/>
                <w:szCs w:val="22"/>
                <w:lang w:eastAsia="en-US"/>
              </w:rPr>
            </w:pPr>
            <w:r w:rsidRPr="007009FA">
              <w:rPr>
                <w:rFonts w:eastAsia="Calibri"/>
                <w:sz w:val="22"/>
                <w:szCs w:val="22"/>
                <w:lang w:eastAsia="en-US"/>
              </w:rPr>
              <w:t xml:space="preserve">De raad door dit wetsvoorstel nog meer op afstand van de rekenkamer komt </w:t>
            </w:r>
          </w:p>
          <w:p w:rsidR="007009FA" w:rsidRPr="007009FA" w:rsidRDefault="007009FA" w:rsidP="007009FA">
            <w:pPr>
              <w:widowControl/>
              <w:numPr>
                <w:ilvl w:val="0"/>
                <w:numId w:val="4"/>
              </w:numPr>
              <w:kinsoku/>
              <w:autoSpaceDE w:val="0"/>
              <w:autoSpaceDN w:val="0"/>
              <w:adjustRightInd w:val="0"/>
              <w:rPr>
                <w:rFonts w:eastAsia="Calibri"/>
                <w:sz w:val="22"/>
                <w:szCs w:val="22"/>
                <w:lang w:eastAsia="en-US"/>
              </w:rPr>
            </w:pPr>
            <w:r w:rsidRPr="007009FA">
              <w:rPr>
                <w:rFonts w:eastAsia="Calibri"/>
                <w:sz w:val="22"/>
                <w:szCs w:val="22"/>
                <w:lang w:eastAsia="en-US"/>
              </w:rPr>
              <w:t xml:space="preserve">Het van belang is, dat gemeenten hun lokale autonomie behouden in de keuze van de vorm van de lokale rekenkamer. </w:t>
            </w:r>
          </w:p>
          <w:p w:rsidR="007009FA" w:rsidRPr="007009FA" w:rsidRDefault="007009FA" w:rsidP="007009FA">
            <w:pPr>
              <w:widowControl/>
              <w:numPr>
                <w:ilvl w:val="0"/>
                <w:numId w:val="4"/>
              </w:numPr>
              <w:kinsoku/>
              <w:autoSpaceDE w:val="0"/>
              <w:autoSpaceDN w:val="0"/>
              <w:adjustRightInd w:val="0"/>
              <w:rPr>
                <w:rFonts w:eastAsia="Calibri"/>
                <w:sz w:val="22"/>
                <w:szCs w:val="22"/>
                <w:lang w:eastAsia="en-US"/>
              </w:rPr>
            </w:pPr>
            <w:r w:rsidRPr="007009FA">
              <w:rPr>
                <w:rFonts w:eastAsia="Calibri"/>
                <w:sz w:val="22"/>
                <w:szCs w:val="22"/>
                <w:lang w:eastAsia="en-US"/>
              </w:rPr>
              <w:t xml:space="preserve">Het beperken van die keuze niet de oplossing is voor de slapende rekenkamers. </w:t>
            </w:r>
          </w:p>
          <w:p w:rsidR="007009FA" w:rsidRPr="007009FA" w:rsidRDefault="007009FA" w:rsidP="007009FA">
            <w:pPr>
              <w:widowControl/>
              <w:numPr>
                <w:ilvl w:val="0"/>
                <w:numId w:val="4"/>
              </w:numPr>
              <w:kinsoku/>
              <w:autoSpaceDE w:val="0"/>
              <w:autoSpaceDN w:val="0"/>
              <w:adjustRightInd w:val="0"/>
              <w:rPr>
                <w:rFonts w:eastAsia="Calibri"/>
                <w:sz w:val="22"/>
                <w:szCs w:val="22"/>
                <w:lang w:eastAsia="en-US"/>
              </w:rPr>
            </w:pPr>
            <w:r w:rsidRPr="007009FA">
              <w:rPr>
                <w:rFonts w:eastAsia="Calibri"/>
                <w:sz w:val="22"/>
                <w:szCs w:val="22"/>
                <w:lang w:eastAsia="en-US"/>
              </w:rPr>
              <w:t xml:space="preserve">Het Rijk een geoormerkt (basis)budget beschikbaar zou kunnen stellen voor alle gemeenten, afgestemd op de omvang van de gemeentes, temeer daar een financiële doorrekening voor de invoeringskosten ontbreekt. </w:t>
            </w:r>
          </w:p>
          <w:p w:rsidR="007009FA" w:rsidRPr="007009FA" w:rsidRDefault="007009FA" w:rsidP="007009FA">
            <w:pPr>
              <w:widowControl/>
              <w:numPr>
                <w:ilvl w:val="0"/>
                <w:numId w:val="4"/>
              </w:numPr>
              <w:kinsoku/>
              <w:autoSpaceDE w:val="0"/>
              <w:autoSpaceDN w:val="0"/>
              <w:adjustRightInd w:val="0"/>
              <w:rPr>
                <w:rFonts w:eastAsia="Calibri"/>
                <w:sz w:val="22"/>
                <w:szCs w:val="22"/>
                <w:lang w:eastAsia="en-US"/>
              </w:rPr>
            </w:pPr>
            <w:r w:rsidRPr="007009FA">
              <w:rPr>
                <w:rFonts w:eastAsia="Calibri"/>
                <w:sz w:val="22"/>
                <w:szCs w:val="22"/>
                <w:lang w:eastAsia="en-US"/>
              </w:rPr>
              <w:t>Brunssum een goed functionerende rekenkamerfunctie heeft met een onafhankelijke voorzitter, externe onderzoekers en adviserende raadsleden.</w:t>
            </w:r>
          </w:p>
          <w:p w:rsidR="007009FA" w:rsidRDefault="007009FA" w:rsidP="007009FA">
            <w:pPr>
              <w:widowControl/>
              <w:kinsoku/>
              <w:autoSpaceDE w:val="0"/>
              <w:autoSpaceDN w:val="0"/>
              <w:adjustRightInd w:val="0"/>
              <w:rPr>
                <w:rFonts w:eastAsia="Calibri"/>
                <w:sz w:val="22"/>
                <w:szCs w:val="22"/>
                <w:lang w:eastAsia="en-US"/>
              </w:rPr>
            </w:pPr>
          </w:p>
          <w:p w:rsidR="007009FA" w:rsidRDefault="007009FA" w:rsidP="007009FA">
            <w:pPr>
              <w:widowControl/>
              <w:kinsoku/>
              <w:autoSpaceDE w:val="0"/>
              <w:autoSpaceDN w:val="0"/>
              <w:adjustRightInd w:val="0"/>
              <w:rPr>
                <w:rFonts w:eastAsia="Calibri"/>
                <w:sz w:val="22"/>
                <w:szCs w:val="22"/>
                <w:lang w:eastAsia="en-US"/>
              </w:rPr>
            </w:pPr>
          </w:p>
          <w:p w:rsidR="007009FA" w:rsidRDefault="00A20B81" w:rsidP="007009FA">
            <w:pPr>
              <w:widowControl/>
              <w:kinsoku/>
              <w:autoSpaceDE w:val="0"/>
              <w:autoSpaceDN w:val="0"/>
              <w:adjustRightInd w:val="0"/>
              <w:rPr>
                <w:rFonts w:eastAsia="Calibri"/>
                <w:sz w:val="22"/>
                <w:szCs w:val="22"/>
                <w:lang w:eastAsia="en-US"/>
              </w:rPr>
            </w:pPr>
            <w:r>
              <w:rPr>
                <w:rFonts w:eastAsia="Calibri"/>
                <w:sz w:val="22"/>
                <w:szCs w:val="22"/>
                <w:lang w:eastAsia="en-US"/>
              </w:rPr>
              <w:t>Verzoek de burgemeester en griffier van de gemeente Brunssum</w:t>
            </w:r>
            <w:r w:rsidR="007009FA" w:rsidRPr="009E541E">
              <w:rPr>
                <w:rFonts w:eastAsia="Calibri"/>
                <w:sz w:val="22"/>
                <w:szCs w:val="22"/>
                <w:lang w:eastAsia="en-US"/>
              </w:rPr>
              <w:t>,</w:t>
            </w:r>
          </w:p>
          <w:p w:rsidR="007009FA" w:rsidRPr="00A20B81" w:rsidRDefault="007009FA" w:rsidP="00A20B81">
            <w:pPr>
              <w:widowControl/>
              <w:numPr>
                <w:ilvl w:val="0"/>
                <w:numId w:val="4"/>
              </w:numPr>
              <w:kinsoku/>
              <w:autoSpaceDE w:val="0"/>
              <w:autoSpaceDN w:val="0"/>
              <w:adjustRightInd w:val="0"/>
              <w:rPr>
                <w:rFonts w:eastAsia="Calibri"/>
                <w:sz w:val="22"/>
                <w:szCs w:val="22"/>
                <w:lang w:eastAsia="en-US"/>
              </w:rPr>
            </w:pPr>
            <w:r w:rsidRPr="00A20B81">
              <w:rPr>
                <w:rFonts w:eastAsia="Calibri"/>
                <w:sz w:val="22"/>
                <w:szCs w:val="22"/>
                <w:lang w:eastAsia="en-US"/>
              </w:rPr>
              <w:t xml:space="preserve">Aan de Tweede Kamer der Staten Generaal kenbaar te maken dat de wettelijke mogelijkheid om lokale autonomie te hebben bij het kiezen van een rekenkamermodel behouden moet blijven. </w:t>
            </w:r>
          </w:p>
          <w:p w:rsidR="007009FA" w:rsidRPr="00A20B81" w:rsidRDefault="007009FA" w:rsidP="00A20B81">
            <w:pPr>
              <w:widowControl/>
              <w:numPr>
                <w:ilvl w:val="0"/>
                <w:numId w:val="4"/>
              </w:numPr>
              <w:kinsoku/>
              <w:autoSpaceDE w:val="0"/>
              <w:autoSpaceDN w:val="0"/>
              <w:adjustRightInd w:val="0"/>
              <w:rPr>
                <w:rFonts w:eastAsia="Calibri"/>
                <w:sz w:val="22"/>
                <w:szCs w:val="22"/>
                <w:lang w:eastAsia="en-US"/>
              </w:rPr>
            </w:pPr>
            <w:r w:rsidRPr="00A20B81">
              <w:rPr>
                <w:rFonts w:eastAsia="Calibri"/>
                <w:sz w:val="22"/>
                <w:szCs w:val="22"/>
                <w:lang w:eastAsia="en-US"/>
              </w:rPr>
              <w:t>Deze motie kenbaar te maken aan alle andere gemeenten.</w:t>
            </w:r>
          </w:p>
          <w:p w:rsidR="007009FA" w:rsidRDefault="007009FA">
            <w:pPr>
              <w:ind w:left="5"/>
              <w:rPr>
                <w:w w:val="105"/>
                <w:sz w:val="22"/>
                <w:szCs w:val="22"/>
              </w:rPr>
            </w:pPr>
          </w:p>
          <w:p w:rsidR="007009FA" w:rsidRPr="009E541E" w:rsidRDefault="007009FA" w:rsidP="007009FA">
            <w:pPr>
              <w:ind w:left="5"/>
              <w:rPr>
                <w:w w:val="105"/>
                <w:sz w:val="22"/>
                <w:szCs w:val="22"/>
              </w:rPr>
            </w:pPr>
            <w:r w:rsidRPr="009E541E">
              <w:rPr>
                <w:rFonts w:eastAsia="Calibri"/>
                <w:sz w:val="22"/>
                <w:szCs w:val="22"/>
                <w:lang w:eastAsia="en-US"/>
              </w:rPr>
              <w:t>en</w:t>
            </w:r>
            <w:r w:rsidRPr="009E541E">
              <w:rPr>
                <w:spacing w:val="-3"/>
                <w:w w:val="105"/>
                <w:sz w:val="20"/>
                <w:szCs w:val="20"/>
              </w:rPr>
              <w:t xml:space="preserve"> </w:t>
            </w:r>
            <w:r w:rsidRPr="009E541E">
              <w:rPr>
                <w:spacing w:val="-3"/>
                <w:w w:val="105"/>
                <w:sz w:val="22"/>
                <w:szCs w:val="22"/>
              </w:rPr>
              <w:t>over te gaan</w:t>
            </w:r>
            <w:r>
              <w:rPr>
                <w:spacing w:val="-3"/>
                <w:w w:val="105"/>
                <w:sz w:val="22"/>
                <w:szCs w:val="22"/>
              </w:rPr>
              <w:t xml:space="preserve"> tot de orde van de vergaderdag</w:t>
            </w:r>
          </w:p>
        </w:tc>
        <w:tc>
          <w:tcPr>
            <w:tcW w:w="20" w:type="dxa"/>
            <w:tcBorders>
              <w:top w:val="single" w:sz="4" w:space="0" w:color="auto"/>
              <w:left w:val="nil"/>
              <w:bottom w:val="single" w:sz="4" w:space="0" w:color="auto"/>
              <w:right w:val="nil"/>
            </w:tcBorders>
          </w:tcPr>
          <w:p w:rsidR="007009FA" w:rsidRPr="002C231E" w:rsidRDefault="007009FA" w:rsidP="00A4308E">
            <w:pPr>
              <w:ind w:left="142" w:hanging="142"/>
            </w:pPr>
          </w:p>
        </w:tc>
        <w:tc>
          <w:tcPr>
            <w:tcW w:w="54" w:type="dxa"/>
            <w:tcBorders>
              <w:top w:val="single" w:sz="4" w:space="0" w:color="auto"/>
              <w:left w:val="nil"/>
              <w:bottom w:val="single" w:sz="4" w:space="0" w:color="auto"/>
              <w:right w:val="single" w:sz="4" w:space="0" w:color="auto"/>
            </w:tcBorders>
          </w:tcPr>
          <w:p w:rsidR="007009FA" w:rsidRPr="002C231E" w:rsidRDefault="007009FA"/>
        </w:tc>
      </w:tr>
      <w:tr w:rsidR="0067018D" w:rsidRPr="002C231E" w:rsidTr="00A4308E">
        <w:trPr>
          <w:trHeight w:hRule="exact" w:val="796"/>
        </w:trPr>
        <w:tc>
          <w:tcPr>
            <w:tcW w:w="1608" w:type="dxa"/>
            <w:tcBorders>
              <w:top w:val="single" w:sz="4" w:space="0" w:color="auto"/>
              <w:left w:val="single" w:sz="4" w:space="0" w:color="auto"/>
              <w:bottom w:val="single" w:sz="4" w:space="0" w:color="auto"/>
              <w:right w:val="single" w:sz="4" w:space="0" w:color="auto"/>
            </w:tcBorders>
          </w:tcPr>
          <w:p w:rsidR="0067018D" w:rsidRPr="002C231E" w:rsidRDefault="0067018D">
            <w:pPr>
              <w:ind w:left="5"/>
              <w:rPr>
                <w:spacing w:val="-4"/>
                <w:w w:val="105"/>
                <w:sz w:val="20"/>
                <w:szCs w:val="20"/>
              </w:rPr>
            </w:pPr>
            <w:r w:rsidRPr="002C231E">
              <w:rPr>
                <w:spacing w:val="-4"/>
                <w:w w:val="105"/>
                <w:sz w:val="20"/>
                <w:szCs w:val="20"/>
              </w:rPr>
              <w:t>Raadsvergadering:</w:t>
            </w:r>
          </w:p>
        </w:tc>
        <w:tc>
          <w:tcPr>
            <w:tcW w:w="6896" w:type="dxa"/>
            <w:tcBorders>
              <w:top w:val="single" w:sz="4" w:space="0" w:color="auto"/>
              <w:left w:val="single" w:sz="4" w:space="0" w:color="auto"/>
              <w:bottom w:val="single" w:sz="4" w:space="0" w:color="auto"/>
              <w:right w:val="nil"/>
            </w:tcBorders>
          </w:tcPr>
          <w:p w:rsidR="0067018D" w:rsidRPr="002C231E" w:rsidRDefault="0067018D">
            <w:pPr>
              <w:spacing w:line="333" w:lineRule="exact"/>
              <w:jc w:val="center"/>
              <w:rPr>
                <w:w w:val="105"/>
                <w:sz w:val="20"/>
                <w:szCs w:val="20"/>
              </w:rPr>
            </w:pPr>
            <w:r w:rsidRPr="002C231E">
              <w:rPr>
                <w:w w:val="105"/>
                <w:sz w:val="20"/>
                <w:szCs w:val="20"/>
              </w:rPr>
              <w:t>raadslid:</w:t>
            </w:r>
            <w:r w:rsidRPr="002C231E">
              <w:rPr>
                <w:w w:val="105"/>
                <w:sz w:val="20"/>
                <w:szCs w:val="20"/>
              </w:rPr>
              <w:br/>
              <w:t>raadslid:</w:t>
            </w:r>
          </w:p>
        </w:tc>
        <w:tc>
          <w:tcPr>
            <w:tcW w:w="20" w:type="dxa"/>
            <w:tcBorders>
              <w:top w:val="single" w:sz="4" w:space="0" w:color="auto"/>
              <w:left w:val="nil"/>
              <w:bottom w:val="single" w:sz="4" w:space="0" w:color="auto"/>
              <w:right w:val="nil"/>
            </w:tcBorders>
          </w:tcPr>
          <w:p w:rsidR="0067018D" w:rsidRPr="002C231E" w:rsidRDefault="0067018D">
            <w:pPr>
              <w:spacing w:line="333" w:lineRule="exact"/>
              <w:jc w:val="center"/>
              <w:rPr>
                <w:w w:val="105"/>
                <w:sz w:val="20"/>
                <w:szCs w:val="20"/>
              </w:rPr>
            </w:pPr>
            <w:r w:rsidRPr="002C231E">
              <w:rPr>
                <w:w w:val="105"/>
                <w:sz w:val="20"/>
                <w:szCs w:val="20"/>
              </w:rPr>
              <w:t>raadslid:</w:t>
            </w:r>
            <w:r w:rsidRPr="002C231E">
              <w:rPr>
                <w:w w:val="105"/>
                <w:sz w:val="20"/>
                <w:szCs w:val="20"/>
              </w:rPr>
              <w:br/>
              <w:t>raadslid:</w:t>
            </w:r>
          </w:p>
        </w:tc>
        <w:tc>
          <w:tcPr>
            <w:tcW w:w="54" w:type="dxa"/>
            <w:tcBorders>
              <w:top w:val="single" w:sz="4" w:space="0" w:color="auto"/>
              <w:left w:val="nil"/>
              <w:bottom w:val="single" w:sz="4" w:space="0" w:color="auto"/>
              <w:right w:val="single" w:sz="4" w:space="0" w:color="auto"/>
            </w:tcBorders>
          </w:tcPr>
          <w:p w:rsidR="0067018D" w:rsidRPr="002C231E" w:rsidRDefault="0067018D"/>
        </w:tc>
      </w:tr>
      <w:tr w:rsidR="0067018D" w:rsidRPr="002C231E" w:rsidTr="00A4308E">
        <w:trPr>
          <w:trHeight w:hRule="exact" w:val="716"/>
        </w:trPr>
        <w:tc>
          <w:tcPr>
            <w:tcW w:w="1608" w:type="dxa"/>
            <w:tcBorders>
              <w:top w:val="single" w:sz="4" w:space="0" w:color="auto"/>
              <w:left w:val="single" w:sz="4" w:space="0" w:color="auto"/>
              <w:bottom w:val="single" w:sz="4" w:space="0" w:color="auto"/>
              <w:right w:val="single" w:sz="4" w:space="0" w:color="auto"/>
            </w:tcBorders>
          </w:tcPr>
          <w:p w:rsidR="0067018D" w:rsidRPr="002C231E" w:rsidRDefault="0067018D">
            <w:pPr>
              <w:ind w:left="5"/>
              <w:rPr>
                <w:w w:val="105"/>
                <w:sz w:val="20"/>
                <w:szCs w:val="20"/>
              </w:rPr>
            </w:pPr>
            <w:r w:rsidRPr="002C231E">
              <w:rPr>
                <w:w w:val="105"/>
                <w:sz w:val="20"/>
                <w:szCs w:val="20"/>
              </w:rPr>
              <w:t>Besluit:</w:t>
            </w:r>
          </w:p>
        </w:tc>
        <w:tc>
          <w:tcPr>
            <w:tcW w:w="6896" w:type="dxa"/>
            <w:tcBorders>
              <w:top w:val="single" w:sz="4" w:space="0" w:color="auto"/>
              <w:left w:val="single" w:sz="4" w:space="0" w:color="auto"/>
              <w:bottom w:val="single" w:sz="4" w:space="0" w:color="auto"/>
              <w:right w:val="nil"/>
            </w:tcBorders>
          </w:tcPr>
          <w:p w:rsidR="0067018D" w:rsidRPr="002C231E" w:rsidRDefault="0067018D">
            <w:pPr>
              <w:spacing w:before="36"/>
              <w:ind w:right="1404"/>
              <w:rPr>
                <w:w w:val="105"/>
                <w:sz w:val="20"/>
                <w:szCs w:val="20"/>
              </w:rPr>
            </w:pPr>
            <w:r w:rsidRPr="002C231E">
              <w:rPr>
                <w:spacing w:val="-11"/>
                <w:w w:val="105"/>
                <w:sz w:val="20"/>
                <w:szCs w:val="20"/>
              </w:rPr>
              <w:t xml:space="preserve">Aantal stemmen: </w:t>
            </w:r>
            <w:r w:rsidR="00A4308E" w:rsidRPr="002C231E">
              <w:rPr>
                <w:spacing w:val="-11"/>
                <w:w w:val="105"/>
                <w:sz w:val="20"/>
                <w:szCs w:val="20"/>
              </w:rPr>
              <w:br/>
            </w:r>
            <w:r w:rsidRPr="002C231E">
              <w:rPr>
                <w:w w:val="105"/>
                <w:sz w:val="20"/>
                <w:szCs w:val="20"/>
              </w:rPr>
              <w:t>voor:</w:t>
            </w:r>
          </w:p>
          <w:p w:rsidR="0067018D" w:rsidRPr="002C231E" w:rsidRDefault="0067018D">
            <w:pPr>
              <w:spacing w:before="36" w:line="149" w:lineRule="exact"/>
              <w:rPr>
                <w:w w:val="105"/>
                <w:sz w:val="20"/>
                <w:szCs w:val="20"/>
              </w:rPr>
            </w:pPr>
            <w:r w:rsidRPr="002C231E">
              <w:rPr>
                <w:w w:val="105"/>
                <w:sz w:val="20"/>
                <w:szCs w:val="20"/>
              </w:rPr>
              <w:t>tegen:</w:t>
            </w:r>
          </w:p>
        </w:tc>
        <w:tc>
          <w:tcPr>
            <w:tcW w:w="20" w:type="dxa"/>
            <w:tcBorders>
              <w:top w:val="single" w:sz="4" w:space="0" w:color="auto"/>
              <w:left w:val="nil"/>
              <w:bottom w:val="single" w:sz="4" w:space="0" w:color="auto"/>
              <w:right w:val="nil"/>
            </w:tcBorders>
          </w:tcPr>
          <w:p w:rsidR="0067018D" w:rsidRPr="002C231E" w:rsidRDefault="0067018D">
            <w:pPr>
              <w:ind w:left="540" w:right="72"/>
              <w:rPr>
                <w:spacing w:val="-9"/>
                <w:w w:val="105"/>
                <w:sz w:val="20"/>
                <w:szCs w:val="20"/>
              </w:rPr>
            </w:pPr>
            <w:r w:rsidRPr="002C231E">
              <w:rPr>
                <w:w w:val="105"/>
                <w:sz w:val="20"/>
                <w:szCs w:val="20"/>
              </w:rPr>
              <w:t xml:space="preserve">Motie is: </w:t>
            </w:r>
            <w:r w:rsidRPr="002C231E">
              <w:rPr>
                <w:spacing w:val="-9"/>
                <w:w w:val="105"/>
                <w:sz w:val="20"/>
                <w:szCs w:val="20"/>
              </w:rPr>
              <w:t>aangenomen/verworpen</w:t>
            </w:r>
          </w:p>
        </w:tc>
        <w:tc>
          <w:tcPr>
            <w:tcW w:w="54" w:type="dxa"/>
            <w:tcBorders>
              <w:top w:val="single" w:sz="4" w:space="0" w:color="auto"/>
              <w:left w:val="nil"/>
              <w:bottom w:val="single" w:sz="4" w:space="0" w:color="auto"/>
              <w:right w:val="single" w:sz="4" w:space="0" w:color="auto"/>
            </w:tcBorders>
          </w:tcPr>
          <w:p w:rsidR="0067018D" w:rsidRPr="002C231E" w:rsidRDefault="0067018D"/>
        </w:tc>
      </w:tr>
      <w:tr w:rsidR="0067018D" w:rsidRPr="002C231E" w:rsidTr="00A4308E">
        <w:trPr>
          <w:trHeight w:hRule="exact" w:val="644"/>
        </w:trPr>
        <w:tc>
          <w:tcPr>
            <w:tcW w:w="1608" w:type="dxa"/>
            <w:tcBorders>
              <w:top w:val="single" w:sz="4" w:space="0" w:color="auto"/>
              <w:left w:val="single" w:sz="4" w:space="0" w:color="auto"/>
              <w:bottom w:val="single" w:sz="4" w:space="0" w:color="auto"/>
              <w:right w:val="single" w:sz="4" w:space="0" w:color="auto"/>
            </w:tcBorders>
          </w:tcPr>
          <w:p w:rsidR="0067018D" w:rsidRPr="002C231E" w:rsidRDefault="0067018D">
            <w:pPr>
              <w:ind w:right="144"/>
              <w:rPr>
                <w:spacing w:val="-4"/>
                <w:w w:val="105"/>
                <w:sz w:val="20"/>
                <w:szCs w:val="20"/>
              </w:rPr>
            </w:pPr>
            <w:r w:rsidRPr="002C231E">
              <w:rPr>
                <w:spacing w:val="-9"/>
                <w:w w:val="105"/>
                <w:sz w:val="20"/>
                <w:szCs w:val="20"/>
              </w:rPr>
              <w:t xml:space="preserve">Wijze afhandeling </w:t>
            </w:r>
            <w:r w:rsidRPr="002C231E">
              <w:rPr>
                <w:spacing w:val="-4"/>
                <w:w w:val="105"/>
                <w:sz w:val="20"/>
                <w:szCs w:val="20"/>
              </w:rPr>
              <w:t>van de motie:</w:t>
            </w:r>
          </w:p>
        </w:tc>
        <w:tc>
          <w:tcPr>
            <w:tcW w:w="6896" w:type="dxa"/>
            <w:tcBorders>
              <w:top w:val="single" w:sz="4" w:space="0" w:color="auto"/>
              <w:left w:val="single" w:sz="4" w:space="0" w:color="auto"/>
              <w:bottom w:val="single" w:sz="4" w:space="0" w:color="auto"/>
              <w:right w:val="nil"/>
            </w:tcBorders>
          </w:tcPr>
          <w:p w:rsidR="0067018D" w:rsidRPr="002C231E" w:rsidRDefault="0067018D"/>
        </w:tc>
        <w:tc>
          <w:tcPr>
            <w:tcW w:w="20" w:type="dxa"/>
            <w:tcBorders>
              <w:top w:val="single" w:sz="4" w:space="0" w:color="auto"/>
              <w:left w:val="nil"/>
              <w:bottom w:val="single" w:sz="4" w:space="0" w:color="auto"/>
              <w:right w:val="nil"/>
            </w:tcBorders>
          </w:tcPr>
          <w:p w:rsidR="0067018D" w:rsidRPr="002C231E" w:rsidRDefault="0067018D"/>
        </w:tc>
        <w:tc>
          <w:tcPr>
            <w:tcW w:w="54" w:type="dxa"/>
            <w:tcBorders>
              <w:top w:val="single" w:sz="4" w:space="0" w:color="auto"/>
              <w:left w:val="nil"/>
              <w:bottom w:val="single" w:sz="4" w:space="0" w:color="auto"/>
              <w:right w:val="single" w:sz="4" w:space="0" w:color="auto"/>
            </w:tcBorders>
          </w:tcPr>
          <w:p w:rsidR="0067018D" w:rsidRPr="002C231E" w:rsidRDefault="0067018D"/>
        </w:tc>
      </w:tr>
    </w:tbl>
    <w:p w:rsidR="0067018D" w:rsidRDefault="0067018D"/>
    <w:sectPr w:rsidR="0067018D">
      <w:pgSz w:w="11918" w:h="16854"/>
      <w:pgMar w:top="1394" w:right="1540" w:bottom="1090" w:left="167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E67AD"/>
    <w:multiLevelType w:val="hybridMultilevel"/>
    <w:tmpl w:val="6AAA6B04"/>
    <w:lvl w:ilvl="0" w:tplc="DB500A24">
      <w:start w:val="2013"/>
      <w:numFmt w:val="bullet"/>
      <w:lvlText w:val="-"/>
      <w:lvlJc w:val="left"/>
      <w:pPr>
        <w:ind w:left="365" w:hanging="360"/>
      </w:pPr>
      <w:rPr>
        <w:rFonts w:ascii="Times New Roman" w:eastAsia="Times New Roman" w:hAnsi="Times New Roman" w:cs="Times New Roman" w:hint="default"/>
      </w:rPr>
    </w:lvl>
    <w:lvl w:ilvl="1" w:tplc="04130003" w:tentative="1">
      <w:start w:val="1"/>
      <w:numFmt w:val="bullet"/>
      <w:lvlText w:val="o"/>
      <w:lvlJc w:val="left"/>
      <w:pPr>
        <w:ind w:left="1085" w:hanging="360"/>
      </w:pPr>
      <w:rPr>
        <w:rFonts w:ascii="Courier New" w:hAnsi="Courier New" w:cs="Courier New" w:hint="default"/>
      </w:rPr>
    </w:lvl>
    <w:lvl w:ilvl="2" w:tplc="04130005" w:tentative="1">
      <w:start w:val="1"/>
      <w:numFmt w:val="bullet"/>
      <w:lvlText w:val=""/>
      <w:lvlJc w:val="left"/>
      <w:pPr>
        <w:ind w:left="1805" w:hanging="360"/>
      </w:pPr>
      <w:rPr>
        <w:rFonts w:ascii="Wingdings" w:hAnsi="Wingdings" w:hint="default"/>
      </w:rPr>
    </w:lvl>
    <w:lvl w:ilvl="3" w:tplc="04130001" w:tentative="1">
      <w:start w:val="1"/>
      <w:numFmt w:val="bullet"/>
      <w:lvlText w:val=""/>
      <w:lvlJc w:val="left"/>
      <w:pPr>
        <w:ind w:left="2525" w:hanging="360"/>
      </w:pPr>
      <w:rPr>
        <w:rFonts w:ascii="Symbol" w:hAnsi="Symbol" w:hint="default"/>
      </w:rPr>
    </w:lvl>
    <w:lvl w:ilvl="4" w:tplc="04130003" w:tentative="1">
      <w:start w:val="1"/>
      <w:numFmt w:val="bullet"/>
      <w:lvlText w:val="o"/>
      <w:lvlJc w:val="left"/>
      <w:pPr>
        <w:ind w:left="3245" w:hanging="360"/>
      </w:pPr>
      <w:rPr>
        <w:rFonts w:ascii="Courier New" w:hAnsi="Courier New" w:cs="Courier New" w:hint="default"/>
      </w:rPr>
    </w:lvl>
    <w:lvl w:ilvl="5" w:tplc="04130005" w:tentative="1">
      <w:start w:val="1"/>
      <w:numFmt w:val="bullet"/>
      <w:lvlText w:val=""/>
      <w:lvlJc w:val="left"/>
      <w:pPr>
        <w:ind w:left="3965" w:hanging="360"/>
      </w:pPr>
      <w:rPr>
        <w:rFonts w:ascii="Wingdings" w:hAnsi="Wingdings" w:hint="default"/>
      </w:rPr>
    </w:lvl>
    <w:lvl w:ilvl="6" w:tplc="04130001" w:tentative="1">
      <w:start w:val="1"/>
      <w:numFmt w:val="bullet"/>
      <w:lvlText w:val=""/>
      <w:lvlJc w:val="left"/>
      <w:pPr>
        <w:ind w:left="4685" w:hanging="360"/>
      </w:pPr>
      <w:rPr>
        <w:rFonts w:ascii="Symbol" w:hAnsi="Symbol" w:hint="default"/>
      </w:rPr>
    </w:lvl>
    <w:lvl w:ilvl="7" w:tplc="04130003" w:tentative="1">
      <w:start w:val="1"/>
      <w:numFmt w:val="bullet"/>
      <w:lvlText w:val="o"/>
      <w:lvlJc w:val="left"/>
      <w:pPr>
        <w:ind w:left="5405" w:hanging="360"/>
      </w:pPr>
      <w:rPr>
        <w:rFonts w:ascii="Courier New" w:hAnsi="Courier New" w:cs="Courier New" w:hint="default"/>
      </w:rPr>
    </w:lvl>
    <w:lvl w:ilvl="8" w:tplc="04130005" w:tentative="1">
      <w:start w:val="1"/>
      <w:numFmt w:val="bullet"/>
      <w:lvlText w:val=""/>
      <w:lvlJc w:val="left"/>
      <w:pPr>
        <w:ind w:left="6125" w:hanging="360"/>
      </w:pPr>
      <w:rPr>
        <w:rFonts w:ascii="Wingdings" w:hAnsi="Wingdings" w:hint="default"/>
      </w:rPr>
    </w:lvl>
  </w:abstractNum>
  <w:abstractNum w:abstractNumId="1" w15:restartNumberingAfterBreak="0">
    <w:nsid w:val="5BF76112"/>
    <w:multiLevelType w:val="hybridMultilevel"/>
    <w:tmpl w:val="0700004A"/>
    <w:lvl w:ilvl="0" w:tplc="714AABC8">
      <w:numFmt w:val="bullet"/>
      <w:lvlText w:val="-"/>
      <w:lvlJc w:val="left"/>
      <w:pPr>
        <w:ind w:left="420" w:hanging="360"/>
      </w:pPr>
      <w:rPr>
        <w:rFonts w:ascii="Times New Roman" w:eastAsia="Calibri"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 w15:restartNumberingAfterBreak="0">
    <w:nsid w:val="69941B0B"/>
    <w:multiLevelType w:val="hybridMultilevel"/>
    <w:tmpl w:val="890AB92A"/>
    <w:lvl w:ilvl="0" w:tplc="D19CEEAA">
      <w:start w:val="2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F5574A"/>
    <w:multiLevelType w:val="hybridMultilevel"/>
    <w:tmpl w:val="E57E9D9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24"/>
    <w:rsid w:val="001450AE"/>
    <w:rsid w:val="001A4910"/>
    <w:rsid w:val="002442FA"/>
    <w:rsid w:val="002C231E"/>
    <w:rsid w:val="002F4931"/>
    <w:rsid w:val="00371499"/>
    <w:rsid w:val="003E4756"/>
    <w:rsid w:val="00436C58"/>
    <w:rsid w:val="004B4A0D"/>
    <w:rsid w:val="005758BD"/>
    <w:rsid w:val="005D0724"/>
    <w:rsid w:val="00667610"/>
    <w:rsid w:val="0067018D"/>
    <w:rsid w:val="007009FA"/>
    <w:rsid w:val="0072396A"/>
    <w:rsid w:val="00745429"/>
    <w:rsid w:val="00745E63"/>
    <w:rsid w:val="00794AB5"/>
    <w:rsid w:val="008D041D"/>
    <w:rsid w:val="009E541E"/>
    <w:rsid w:val="00A20B81"/>
    <w:rsid w:val="00A30D8E"/>
    <w:rsid w:val="00A4100D"/>
    <w:rsid w:val="00A4308E"/>
    <w:rsid w:val="00B62D5A"/>
    <w:rsid w:val="00D80632"/>
    <w:rsid w:val="00DE0E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3E8B3AD8-C816-496D-A9FA-F5D774F5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kinsoku w:val="0"/>
    </w:pPr>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2639</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Gemeente Brunssum</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Conrad-Smit, AJA (Antoinette)</cp:lastModifiedBy>
  <cp:revision>2</cp:revision>
  <dcterms:created xsi:type="dcterms:W3CDTF">2020-06-04T06:48:00Z</dcterms:created>
  <dcterms:modified xsi:type="dcterms:W3CDTF">2020-06-04T06:48:00Z</dcterms:modified>
</cp:coreProperties>
</file>