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horzAnchor="margin" w:tblpY="1155"/>
        <w:tblW w:w="0" w:type="auto"/>
        <w:tblLook w:val="04A0" w:firstRow="1" w:lastRow="0" w:firstColumn="1" w:lastColumn="0" w:noHBand="0" w:noVBand="1"/>
      </w:tblPr>
      <w:tblGrid>
        <w:gridCol w:w="562"/>
        <w:gridCol w:w="5035"/>
        <w:gridCol w:w="777"/>
        <w:gridCol w:w="7371"/>
        <w:gridCol w:w="249"/>
      </w:tblGrid>
      <w:tr w:rsidR="00B82A05" w:rsidTr="00B82A05">
        <w:tc>
          <w:tcPr>
            <w:tcW w:w="562" w:type="dxa"/>
          </w:tcPr>
          <w:p w:rsidR="00B82A05" w:rsidRDefault="00B82A05" w:rsidP="00B82A05">
            <w:r>
              <w:t>Nr.</w:t>
            </w:r>
          </w:p>
        </w:tc>
        <w:tc>
          <w:tcPr>
            <w:tcW w:w="5035" w:type="dxa"/>
          </w:tcPr>
          <w:p w:rsidR="00B82A05" w:rsidRDefault="00B82A05" w:rsidP="00B82A05">
            <w:r>
              <w:t>Vraag</w:t>
            </w:r>
          </w:p>
        </w:tc>
        <w:tc>
          <w:tcPr>
            <w:tcW w:w="777" w:type="dxa"/>
          </w:tcPr>
          <w:p w:rsidR="00B82A05" w:rsidRDefault="00B82A05" w:rsidP="00B82A05">
            <w:r>
              <w:t>Partij</w:t>
            </w:r>
          </w:p>
        </w:tc>
        <w:tc>
          <w:tcPr>
            <w:tcW w:w="7371" w:type="dxa"/>
          </w:tcPr>
          <w:p w:rsidR="00B82A05" w:rsidRDefault="00B82A05" w:rsidP="00B82A05">
            <w:r>
              <w:t>Antwoord</w:t>
            </w:r>
          </w:p>
        </w:tc>
        <w:tc>
          <w:tcPr>
            <w:tcW w:w="249" w:type="dxa"/>
          </w:tcPr>
          <w:p w:rsidR="00B82A05" w:rsidRDefault="00B82A05" w:rsidP="00B82A05"/>
        </w:tc>
      </w:tr>
      <w:tr w:rsidR="00B82A05" w:rsidTr="00B82A05">
        <w:tc>
          <w:tcPr>
            <w:tcW w:w="562" w:type="dxa"/>
          </w:tcPr>
          <w:p w:rsidR="00B82A05" w:rsidRDefault="00B82A05" w:rsidP="00B82A05">
            <w:r>
              <w:t>1</w:t>
            </w:r>
          </w:p>
        </w:tc>
        <w:tc>
          <w:tcPr>
            <w:tcW w:w="5035" w:type="dxa"/>
          </w:tcPr>
          <w:p w:rsidR="00B82A05" w:rsidRDefault="00B82A05" w:rsidP="00B82A05">
            <w:pPr>
              <w:rPr>
                <w:rFonts w:ascii="Calibri" w:eastAsia="Times New Roman" w:hAnsi="Calibri"/>
                <w:color w:val="000000"/>
              </w:rPr>
            </w:pPr>
            <w:r>
              <w:rPr>
                <w:rFonts w:ascii="Calibri" w:eastAsia="Times New Roman" w:hAnsi="Calibri"/>
                <w:color w:val="000000"/>
              </w:rPr>
              <w:t>In de raadsinformatie brief wordt op de 2e pagina gesproken:</w:t>
            </w:r>
          </w:p>
          <w:p w:rsidR="00B82A05" w:rsidRDefault="00B82A05" w:rsidP="00B82A05">
            <w:pPr>
              <w:rPr>
                <w:rFonts w:ascii="Calibri" w:eastAsia="Times New Roman" w:hAnsi="Calibri"/>
                <w:color w:val="000000"/>
              </w:rPr>
            </w:pPr>
            <w:r>
              <w:rPr>
                <w:rFonts w:ascii="Calibri" w:eastAsia="Times New Roman" w:hAnsi="Calibri"/>
                <w:color w:val="000000"/>
              </w:rPr>
              <w:t>‘Daarbij is wel de kanttekening dat als een kind ‘zware’ jeugdhulp nodig heeft wij altijd aan de lat staan’.</w:t>
            </w:r>
          </w:p>
          <w:p w:rsidR="00B82A05" w:rsidRDefault="00B82A05" w:rsidP="00B82A05">
            <w:pPr>
              <w:rPr>
                <w:rFonts w:ascii="Calibri" w:eastAsia="Times New Roman" w:hAnsi="Calibri"/>
                <w:color w:val="000000"/>
              </w:rPr>
            </w:pPr>
            <w:r>
              <w:rPr>
                <w:rFonts w:ascii="Calibri" w:eastAsia="Times New Roman" w:hAnsi="Calibri"/>
                <w:color w:val="000000"/>
              </w:rPr>
              <w:t>Vraag: wat wordt precies in deze context bedoeld met ‘aan de lat’ staan?</w:t>
            </w:r>
          </w:p>
          <w:p w:rsidR="00B82A05" w:rsidRDefault="00B82A05" w:rsidP="00B82A05">
            <w:pPr>
              <w:rPr>
                <w:rFonts w:ascii="Calibri" w:eastAsia="Times New Roman" w:hAnsi="Calibri"/>
                <w:color w:val="000000"/>
              </w:rPr>
            </w:pPr>
            <w:r>
              <w:rPr>
                <w:rFonts w:ascii="Calibri" w:eastAsia="Times New Roman" w:hAnsi="Calibri"/>
                <w:color w:val="000000"/>
              </w:rPr>
              <w:t>Vervolgens: wat/ wie bedoelen we dan precies met Wij? En waaruit bestaat dan diens verantwoordelijkheid?</w:t>
            </w:r>
          </w:p>
          <w:p w:rsidR="00B82A05" w:rsidRDefault="00B82A05" w:rsidP="00B82A05">
            <w:pPr>
              <w:rPr>
                <w:rFonts w:ascii="Calibri" w:eastAsia="Times New Roman" w:hAnsi="Calibri"/>
                <w:color w:val="000000"/>
              </w:rPr>
            </w:pPr>
            <w:r>
              <w:rPr>
                <w:rFonts w:ascii="Calibri" w:eastAsia="Times New Roman" w:hAnsi="Calibri"/>
                <w:color w:val="000000"/>
              </w:rPr>
              <w:t xml:space="preserve">In deze zin wordt ook het woord ‘zware’ hulp aangeduid. </w:t>
            </w:r>
          </w:p>
          <w:p w:rsidR="00B82A05" w:rsidRDefault="00B82A05" w:rsidP="00B82A05">
            <w:pPr>
              <w:rPr>
                <w:rFonts w:ascii="Calibri" w:eastAsia="Times New Roman" w:hAnsi="Calibri"/>
                <w:color w:val="000000"/>
              </w:rPr>
            </w:pPr>
            <w:r>
              <w:rPr>
                <w:rFonts w:ascii="Calibri" w:eastAsia="Times New Roman" w:hAnsi="Calibri"/>
                <w:color w:val="000000"/>
              </w:rPr>
              <w:t>Vraag: zou u mij kunnen vertellen wat de definitie is van zware hulp die we hanteren?  Over welke zorgvragers hebben we het dan? Graag een definitie.</w:t>
            </w:r>
          </w:p>
          <w:p w:rsidR="00B82A05" w:rsidRDefault="00B82A05" w:rsidP="00B82A05">
            <w:pPr>
              <w:rPr>
                <w:rFonts w:ascii="Calibri" w:eastAsia="Times New Roman" w:hAnsi="Calibri"/>
                <w:color w:val="000000"/>
              </w:rPr>
            </w:pPr>
            <w:r>
              <w:rPr>
                <w:rFonts w:ascii="Calibri" w:eastAsia="Times New Roman" w:hAnsi="Calibri"/>
                <w:color w:val="000000"/>
              </w:rPr>
              <w:t>- waar moet ik vervolgens dan aan kosten denken, als dit predicaat is vastgesteld?</w:t>
            </w:r>
          </w:p>
          <w:p w:rsidR="00B82A05" w:rsidRDefault="00B82A05" w:rsidP="00B82A05"/>
        </w:tc>
        <w:tc>
          <w:tcPr>
            <w:tcW w:w="777" w:type="dxa"/>
          </w:tcPr>
          <w:p w:rsidR="00B82A05" w:rsidRDefault="00B82A05" w:rsidP="00B82A05">
            <w:r>
              <w:t>PvdA</w:t>
            </w:r>
          </w:p>
        </w:tc>
        <w:tc>
          <w:tcPr>
            <w:tcW w:w="7371" w:type="dxa"/>
          </w:tcPr>
          <w:p w:rsidR="00A247AE" w:rsidRDefault="00EF3772" w:rsidP="00B82A05">
            <w:r>
              <w:t xml:space="preserve">Gemeenten zijn verantwoordelijk voor de hulp aan jeugdigen. Onder de jeugdwet is het zo dat een indicatie, eenmaal afgegeven ingevuld en betaald moet worden. Gemeenten mogen op grond van financiën geen hulp weigeren. </w:t>
            </w:r>
            <w:r w:rsidR="00A247AE">
              <w:t xml:space="preserve">Met aan de lat staan wordt bedoeld dat wij als gemeente er van zijn, dat we verantwoordelijk zijn voor het bieden van jeugdhulp en de daarvoor benodigde </w:t>
            </w:r>
            <w:r>
              <w:t>financiën</w:t>
            </w:r>
            <w:r w:rsidR="00A247AE">
              <w:t>.</w:t>
            </w:r>
            <w:bookmarkStart w:id="0" w:name="_GoBack"/>
            <w:bookmarkEnd w:id="0"/>
          </w:p>
          <w:p w:rsidR="00A247AE" w:rsidRDefault="00A247AE" w:rsidP="00B82A05"/>
          <w:p w:rsidR="00B82A05" w:rsidRDefault="00A247AE" w:rsidP="00B82A05">
            <w:r>
              <w:t xml:space="preserve">Met zware hulp wordt alle hulp bedoelt die zich in de zorgmarkt afspeelt. </w:t>
            </w:r>
            <w:r w:rsidR="00EF3772">
              <w:t xml:space="preserve">Zware zorg is in deze zin geïndiceerde zorg. </w:t>
            </w:r>
            <w:r>
              <w:t xml:space="preserve">Dan hebben we het over ongeveer 150 zorgaanbieders die in 2020 goed zijn voor een uitgavepost van 84 miljoen euro regionaal. </w:t>
            </w:r>
          </w:p>
        </w:tc>
        <w:tc>
          <w:tcPr>
            <w:tcW w:w="249" w:type="dxa"/>
          </w:tcPr>
          <w:p w:rsidR="00B82A05" w:rsidRDefault="00B82A05" w:rsidP="00B82A05"/>
        </w:tc>
      </w:tr>
      <w:tr w:rsidR="00B82A05" w:rsidTr="00B82A05">
        <w:tc>
          <w:tcPr>
            <w:tcW w:w="562" w:type="dxa"/>
          </w:tcPr>
          <w:p w:rsidR="00B82A05" w:rsidRDefault="00B82A05" w:rsidP="00B82A05">
            <w:r>
              <w:t>2</w:t>
            </w:r>
          </w:p>
        </w:tc>
        <w:tc>
          <w:tcPr>
            <w:tcW w:w="5035" w:type="dxa"/>
          </w:tcPr>
          <w:p w:rsidR="00B82A05" w:rsidRDefault="00B82A05" w:rsidP="00B82A05">
            <w:pPr>
              <w:rPr>
                <w:rFonts w:ascii="Calibri" w:eastAsia="Times New Roman" w:hAnsi="Calibri"/>
                <w:color w:val="000000"/>
              </w:rPr>
            </w:pPr>
            <w:r>
              <w:rPr>
                <w:rFonts w:ascii="Calibri" w:eastAsia="Times New Roman" w:hAnsi="Calibri"/>
                <w:color w:val="000000"/>
              </w:rPr>
              <w:t>Op pagina 2 wordt ook gesproken over het woord vliegwiel gesproken zonder dat hier een directe betekenis aan wordt gegeven.</w:t>
            </w:r>
          </w:p>
          <w:p w:rsidR="00B82A05" w:rsidRDefault="00B82A05" w:rsidP="00B82A05">
            <w:pPr>
              <w:rPr>
                <w:rFonts w:ascii="Calibri" w:eastAsia="Times New Roman" w:hAnsi="Calibri"/>
                <w:color w:val="000000"/>
              </w:rPr>
            </w:pPr>
            <w:r>
              <w:rPr>
                <w:rFonts w:ascii="Calibri" w:eastAsia="Times New Roman" w:hAnsi="Calibri"/>
                <w:color w:val="000000"/>
              </w:rPr>
              <w:t>Ga er vanuit dat we uit moeten gaan als: ‘komt eenmaal op gang, maar eenmaal op gang is het moeilijk af te remmen’.</w:t>
            </w:r>
          </w:p>
          <w:p w:rsidR="00B82A05" w:rsidRDefault="00B82A05" w:rsidP="00B82A05">
            <w:pPr>
              <w:rPr>
                <w:rFonts w:ascii="Calibri" w:eastAsia="Times New Roman" w:hAnsi="Calibri"/>
                <w:color w:val="000000"/>
              </w:rPr>
            </w:pPr>
            <w:r>
              <w:rPr>
                <w:rFonts w:ascii="Calibri" w:eastAsia="Times New Roman" w:hAnsi="Calibri"/>
                <w:color w:val="000000"/>
              </w:rPr>
              <w:t xml:space="preserve">We gaan hiermee in ieder geval een bezuinigingsslag mee maken. </w:t>
            </w:r>
          </w:p>
          <w:p w:rsidR="00B82A05" w:rsidRDefault="00B82A05" w:rsidP="00B82A05">
            <w:pPr>
              <w:rPr>
                <w:rFonts w:ascii="Calibri" w:eastAsia="Times New Roman" w:hAnsi="Calibri"/>
                <w:color w:val="000000"/>
              </w:rPr>
            </w:pPr>
            <w:r>
              <w:rPr>
                <w:rFonts w:ascii="Calibri" w:eastAsia="Times New Roman" w:hAnsi="Calibri"/>
                <w:color w:val="000000"/>
              </w:rPr>
              <w:t xml:space="preserve">Wat dit voor de achterkant (aantallen langere termijn, minder zieke hulpvraag) gaat betekenen aan </w:t>
            </w:r>
            <w:r>
              <w:rPr>
                <w:rFonts w:ascii="Calibri" w:eastAsia="Times New Roman" w:hAnsi="Calibri"/>
                <w:color w:val="000000"/>
              </w:rPr>
              <w:lastRenderedPageBreak/>
              <w:t>gezondheid en financiële voordelen vind ik lastig te onderscheiden in de stukken.</w:t>
            </w:r>
          </w:p>
          <w:p w:rsidR="00B82A05" w:rsidRDefault="00B82A05" w:rsidP="00B82A05">
            <w:pPr>
              <w:rPr>
                <w:rFonts w:ascii="Calibri" w:eastAsia="Times New Roman" w:hAnsi="Calibri"/>
                <w:color w:val="000000"/>
              </w:rPr>
            </w:pPr>
            <w:r>
              <w:rPr>
                <w:rFonts w:ascii="Calibri" w:eastAsia="Times New Roman" w:hAnsi="Calibri"/>
                <w:color w:val="000000"/>
              </w:rPr>
              <w:t>Kunt u hierover uitleg geven?</w:t>
            </w:r>
          </w:p>
          <w:p w:rsidR="00B82A05" w:rsidRDefault="00B82A05" w:rsidP="00B82A05"/>
        </w:tc>
        <w:tc>
          <w:tcPr>
            <w:tcW w:w="777" w:type="dxa"/>
          </w:tcPr>
          <w:p w:rsidR="00B82A05" w:rsidRDefault="00B82A05" w:rsidP="00B82A05">
            <w:r>
              <w:lastRenderedPageBreak/>
              <w:t>PvdA</w:t>
            </w:r>
          </w:p>
        </w:tc>
        <w:tc>
          <w:tcPr>
            <w:tcW w:w="7371" w:type="dxa"/>
          </w:tcPr>
          <w:p w:rsidR="00EF3772" w:rsidRDefault="00A247AE" w:rsidP="00A247AE">
            <w:r>
              <w:t xml:space="preserve">Het vliegwiel in dit kader kent 2 te onderscheiden betekenissen. De eerste is dat met het naar voren halen van de genoemde producten er een concrete stap gemaakt wordt in de gewenste transformatie. Met deze stap wordt het ook mogelijk om andere producten naar voren te halen. </w:t>
            </w:r>
            <w:r w:rsidR="00EF3772">
              <w:t>In die zin is het vliegwiel de mogelijkheid/ het in beweging zetten van de transformatie. Het gaat hier om het vrijspelen van middelen die tot nu toe 'vast' in de zorgmarkt zaten.</w:t>
            </w:r>
          </w:p>
          <w:p w:rsidR="00EF3772" w:rsidRDefault="00EF3772" w:rsidP="00A247AE"/>
          <w:p w:rsidR="00B82A05" w:rsidRDefault="00A247AE" w:rsidP="00A247AE">
            <w:r>
              <w:t xml:space="preserve">Een tweede betekenis zit in de systematiek van de financiering. Door elke maand 5 kinderen niet door te laten stromen naar de zorgmarkt maar binnen het CJG te helpen hopen we uiteindelijk dat er niemand meer vanuit het CJG </w:t>
            </w:r>
            <w:r>
              <w:lastRenderedPageBreak/>
              <w:t>wordt doorverwezen op deze producten. Klein beginnen met grote positieve gevolgen.</w:t>
            </w:r>
          </w:p>
        </w:tc>
        <w:tc>
          <w:tcPr>
            <w:tcW w:w="249" w:type="dxa"/>
          </w:tcPr>
          <w:p w:rsidR="00B82A05" w:rsidRDefault="00B82A05" w:rsidP="00B82A05"/>
        </w:tc>
      </w:tr>
      <w:tr w:rsidR="00B82A05" w:rsidTr="00B82A05">
        <w:tc>
          <w:tcPr>
            <w:tcW w:w="562" w:type="dxa"/>
          </w:tcPr>
          <w:p w:rsidR="00B82A05" w:rsidRDefault="00B82A05" w:rsidP="00B82A05">
            <w:r>
              <w:t>3</w:t>
            </w:r>
          </w:p>
        </w:tc>
        <w:tc>
          <w:tcPr>
            <w:tcW w:w="5035" w:type="dxa"/>
          </w:tcPr>
          <w:p w:rsidR="00B82A05" w:rsidRDefault="00B82A05" w:rsidP="00B82A05">
            <w:pPr>
              <w:rPr>
                <w:rFonts w:ascii="Calibri" w:eastAsia="Times New Roman" w:hAnsi="Calibri"/>
                <w:color w:val="000000"/>
              </w:rPr>
            </w:pPr>
            <w:r>
              <w:rPr>
                <w:rFonts w:ascii="Calibri" w:eastAsia="Times New Roman" w:hAnsi="Calibri"/>
                <w:color w:val="000000"/>
              </w:rPr>
              <w:t xml:space="preserve">U heeft het ook over producten H300 en H153 (klinkt erg onpersoonlijk overigens). </w:t>
            </w:r>
          </w:p>
          <w:p w:rsidR="00B82A05" w:rsidRDefault="00B82A05" w:rsidP="00B82A05">
            <w:pPr>
              <w:rPr>
                <w:rFonts w:ascii="Calibri" w:eastAsia="Times New Roman" w:hAnsi="Calibri"/>
                <w:color w:val="000000"/>
              </w:rPr>
            </w:pPr>
            <w:r>
              <w:rPr>
                <w:rFonts w:ascii="Calibri" w:eastAsia="Times New Roman" w:hAnsi="Calibri"/>
                <w:color w:val="000000"/>
              </w:rPr>
              <w:t>Waaruit bestaan deze ‘producten’?</w:t>
            </w:r>
          </w:p>
          <w:p w:rsidR="00B82A05" w:rsidRDefault="00B82A05" w:rsidP="00B82A05">
            <w:pPr>
              <w:rPr>
                <w:rFonts w:ascii="Calibri" w:eastAsia="Times New Roman" w:hAnsi="Calibri"/>
                <w:color w:val="000000"/>
              </w:rPr>
            </w:pPr>
            <w:r>
              <w:rPr>
                <w:rFonts w:ascii="Calibri" w:eastAsia="Times New Roman" w:hAnsi="Calibri"/>
                <w:color w:val="000000"/>
              </w:rPr>
              <w:t>En in welke classificatie van zorg vallen deze?</w:t>
            </w:r>
          </w:p>
          <w:p w:rsidR="00B82A05" w:rsidRDefault="00B82A05" w:rsidP="00B82A05"/>
        </w:tc>
        <w:tc>
          <w:tcPr>
            <w:tcW w:w="777" w:type="dxa"/>
          </w:tcPr>
          <w:p w:rsidR="00B82A05" w:rsidRDefault="00B82A05" w:rsidP="00B82A05">
            <w:r>
              <w:t>PvdA</w:t>
            </w:r>
          </w:p>
        </w:tc>
        <w:tc>
          <w:tcPr>
            <w:tcW w:w="7371" w:type="dxa"/>
          </w:tcPr>
          <w:p w:rsidR="00B82A05" w:rsidRDefault="00A247AE" w:rsidP="00B82A05">
            <w:r>
              <w:t>Deze producten staan voor begeleiding en specialistische begeleiding.</w:t>
            </w:r>
            <w:r w:rsidR="00EF3772">
              <w:t xml:space="preserve"> Het betreft de codes zoals die gebruikt worden door de Serviceorganisatie Jeugd en de zorgaanbieders.</w:t>
            </w:r>
            <w:r>
              <w:t xml:space="preserve"> En zijn nu nog zogenaamde maatwerk voorzieningen. Met dit plan worden dit algemene voorzieningen die zonder beschikking toegankelijk zijn.</w:t>
            </w:r>
          </w:p>
        </w:tc>
        <w:tc>
          <w:tcPr>
            <w:tcW w:w="249" w:type="dxa"/>
          </w:tcPr>
          <w:p w:rsidR="00B82A05" w:rsidRDefault="00B82A05" w:rsidP="00B82A05"/>
        </w:tc>
      </w:tr>
      <w:tr w:rsidR="00B82A05" w:rsidTr="00B82A05">
        <w:tc>
          <w:tcPr>
            <w:tcW w:w="562" w:type="dxa"/>
          </w:tcPr>
          <w:p w:rsidR="00B82A05" w:rsidRDefault="00B82A05" w:rsidP="00B82A05">
            <w:r>
              <w:t>4</w:t>
            </w:r>
          </w:p>
        </w:tc>
        <w:tc>
          <w:tcPr>
            <w:tcW w:w="5035" w:type="dxa"/>
          </w:tcPr>
          <w:p w:rsidR="00B82A05" w:rsidRDefault="00B82A05" w:rsidP="00B82A05">
            <w:pPr>
              <w:rPr>
                <w:rFonts w:ascii="Calibri" w:eastAsia="Times New Roman" w:hAnsi="Calibri"/>
                <w:color w:val="000000"/>
              </w:rPr>
            </w:pPr>
            <w:r>
              <w:rPr>
                <w:rFonts w:ascii="Calibri" w:eastAsia="Times New Roman" w:hAnsi="Calibri"/>
                <w:color w:val="000000"/>
              </w:rPr>
              <w:t>Op welke manier worden we als raad op de hoogte gehouden over het verloop en resultaten van dit plan?</w:t>
            </w:r>
          </w:p>
          <w:p w:rsidR="00B82A05" w:rsidRDefault="00B82A05" w:rsidP="00B82A05"/>
        </w:tc>
        <w:tc>
          <w:tcPr>
            <w:tcW w:w="777" w:type="dxa"/>
          </w:tcPr>
          <w:p w:rsidR="00B82A05" w:rsidRDefault="00B82A05" w:rsidP="00B82A05">
            <w:r>
              <w:t>PvdA</w:t>
            </w:r>
          </w:p>
        </w:tc>
        <w:tc>
          <w:tcPr>
            <w:tcW w:w="7371" w:type="dxa"/>
          </w:tcPr>
          <w:p w:rsidR="00B82A05" w:rsidRDefault="00EF3772" w:rsidP="00EF3772">
            <w:r>
              <w:t xml:space="preserve">Wij zullen u informeren over de vorderingen van dit plan via de reguliere momenten in </w:t>
            </w:r>
            <w:r w:rsidR="00CE61F1">
              <w:t>de reguliere P &amp; C cyclus.</w:t>
            </w:r>
          </w:p>
        </w:tc>
        <w:tc>
          <w:tcPr>
            <w:tcW w:w="249" w:type="dxa"/>
          </w:tcPr>
          <w:p w:rsidR="00B82A05" w:rsidRDefault="00B82A05" w:rsidP="00B82A05"/>
        </w:tc>
      </w:tr>
      <w:tr w:rsidR="00B82A05" w:rsidTr="00B82A05">
        <w:tc>
          <w:tcPr>
            <w:tcW w:w="562" w:type="dxa"/>
          </w:tcPr>
          <w:p w:rsidR="00B82A05" w:rsidRDefault="00B82A05" w:rsidP="00B82A05"/>
        </w:tc>
        <w:tc>
          <w:tcPr>
            <w:tcW w:w="5035" w:type="dxa"/>
          </w:tcPr>
          <w:p w:rsidR="00B82A05" w:rsidRDefault="00B82A05" w:rsidP="00B82A05"/>
        </w:tc>
        <w:tc>
          <w:tcPr>
            <w:tcW w:w="777" w:type="dxa"/>
          </w:tcPr>
          <w:p w:rsidR="00B82A05" w:rsidRDefault="00B82A05" w:rsidP="00B82A05"/>
        </w:tc>
        <w:tc>
          <w:tcPr>
            <w:tcW w:w="7371" w:type="dxa"/>
          </w:tcPr>
          <w:p w:rsidR="00B82A05" w:rsidRDefault="00B82A05" w:rsidP="00B82A05"/>
        </w:tc>
        <w:tc>
          <w:tcPr>
            <w:tcW w:w="249" w:type="dxa"/>
          </w:tcPr>
          <w:p w:rsidR="00B82A05" w:rsidRDefault="00B82A05" w:rsidP="00B82A05"/>
        </w:tc>
      </w:tr>
    </w:tbl>
    <w:p w:rsidR="00337B87" w:rsidRDefault="00337B87"/>
    <w:sectPr w:rsidR="00337B87" w:rsidSect="00B82A05">
      <w:headerReference w:type="default" r:id="rId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7CE" w:rsidRDefault="00BB37CE" w:rsidP="00B82A05">
      <w:pPr>
        <w:spacing w:after="0" w:line="240" w:lineRule="auto"/>
      </w:pPr>
      <w:r>
        <w:separator/>
      </w:r>
    </w:p>
  </w:endnote>
  <w:endnote w:type="continuationSeparator" w:id="0">
    <w:p w:rsidR="00BB37CE" w:rsidRDefault="00BB37CE" w:rsidP="00B82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7CE" w:rsidRDefault="00BB37CE" w:rsidP="00B82A05">
      <w:pPr>
        <w:spacing w:after="0" w:line="240" w:lineRule="auto"/>
      </w:pPr>
      <w:r>
        <w:separator/>
      </w:r>
    </w:p>
  </w:footnote>
  <w:footnote w:type="continuationSeparator" w:id="0">
    <w:p w:rsidR="00BB37CE" w:rsidRDefault="00BB37CE" w:rsidP="00B82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A05" w:rsidRPr="00B82A05" w:rsidRDefault="00B82A05" w:rsidP="00B82A05">
    <w:pPr>
      <w:rPr>
        <w:b/>
        <w:sz w:val="24"/>
        <w:szCs w:val="24"/>
      </w:rPr>
    </w:pPr>
    <w:r w:rsidRPr="00B82A05">
      <w:rPr>
        <w:b/>
        <w:sz w:val="24"/>
        <w:szCs w:val="24"/>
      </w:rPr>
      <w:t>Technische vragen Raadsinformatiebrief Implementatieplan jeugdhulp aan de voorkant</w:t>
    </w:r>
  </w:p>
  <w:p w:rsidR="00B82A05" w:rsidRDefault="00B82A0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05"/>
    <w:rsid w:val="00337B87"/>
    <w:rsid w:val="00A247AE"/>
    <w:rsid w:val="00B82A05"/>
    <w:rsid w:val="00BB37CE"/>
    <w:rsid w:val="00CE61F1"/>
    <w:rsid w:val="00EF3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EA03"/>
  <w15:chartTrackingRefBased/>
  <w15:docId w15:val="{0606A5E0-FD89-415A-9588-9D255AC1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82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82A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82A05"/>
  </w:style>
  <w:style w:type="paragraph" w:styleId="Voettekst">
    <w:name w:val="footer"/>
    <w:basedOn w:val="Standaard"/>
    <w:link w:val="VoettekstChar"/>
    <w:uiPriority w:val="99"/>
    <w:unhideWhenUsed/>
    <w:rsid w:val="00B82A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8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734016">
      <w:bodyDiv w:val="1"/>
      <w:marLeft w:val="0"/>
      <w:marRight w:val="0"/>
      <w:marTop w:val="0"/>
      <w:marBottom w:val="0"/>
      <w:divBdr>
        <w:top w:val="none" w:sz="0" w:space="0" w:color="auto"/>
        <w:left w:val="none" w:sz="0" w:space="0" w:color="auto"/>
        <w:bottom w:val="none" w:sz="0" w:space="0" w:color="auto"/>
        <w:right w:val="none" w:sz="0" w:space="0" w:color="auto"/>
      </w:divBdr>
    </w:div>
    <w:div w:id="706831508">
      <w:bodyDiv w:val="1"/>
      <w:marLeft w:val="0"/>
      <w:marRight w:val="0"/>
      <w:marTop w:val="0"/>
      <w:marBottom w:val="0"/>
      <w:divBdr>
        <w:top w:val="none" w:sz="0" w:space="0" w:color="auto"/>
        <w:left w:val="none" w:sz="0" w:space="0" w:color="auto"/>
        <w:bottom w:val="none" w:sz="0" w:space="0" w:color="auto"/>
        <w:right w:val="none" w:sz="0" w:space="0" w:color="auto"/>
      </w:divBdr>
    </w:div>
    <w:div w:id="1194803187">
      <w:bodyDiv w:val="1"/>
      <w:marLeft w:val="0"/>
      <w:marRight w:val="0"/>
      <w:marTop w:val="0"/>
      <w:marBottom w:val="0"/>
      <w:divBdr>
        <w:top w:val="none" w:sz="0" w:space="0" w:color="auto"/>
        <w:left w:val="none" w:sz="0" w:space="0" w:color="auto"/>
        <w:bottom w:val="none" w:sz="0" w:space="0" w:color="auto"/>
        <w:right w:val="none" w:sz="0" w:space="0" w:color="auto"/>
      </w:divBdr>
    </w:div>
    <w:div w:id="1361903980">
      <w:bodyDiv w:val="1"/>
      <w:marLeft w:val="0"/>
      <w:marRight w:val="0"/>
      <w:marTop w:val="0"/>
      <w:marBottom w:val="0"/>
      <w:divBdr>
        <w:top w:val="none" w:sz="0" w:space="0" w:color="auto"/>
        <w:left w:val="none" w:sz="0" w:space="0" w:color="auto"/>
        <w:bottom w:val="none" w:sz="0" w:space="0" w:color="auto"/>
        <w:right w:val="none" w:sz="0" w:space="0" w:color="auto"/>
      </w:divBdr>
    </w:div>
    <w:div w:id="143035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2800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 (Antoinette)</dc:creator>
  <cp:keywords/>
  <dc:description/>
  <cp:lastModifiedBy>Ben Kraal</cp:lastModifiedBy>
  <cp:revision>2</cp:revision>
  <dcterms:created xsi:type="dcterms:W3CDTF">2020-06-08T11:52:00Z</dcterms:created>
  <dcterms:modified xsi:type="dcterms:W3CDTF">2020-06-08T11:52:00Z</dcterms:modified>
</cp:coreProperties>
</file>