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Y="1096"/>
        <w:tblW w:w="14170" w:type="dxa"/>
        <w:tblLook w:val="04A0" w:firstRow="1" w:lastRow="0" w:firstColumn="1" w:lastColumn="0" w:noHBand="0" w:noVBand="1"/>
      </w:tblPr>
      <w:tblGrid>
        <w:gridCol w:w="562"/>
        <w:gridCol w:w="6521"/>
        <w:gridCol w:w="850"/>
        <w:gridCol w:w="6237"/>
      </w:tblGrid>
      <w:tr w:rsidR="00E95CD9" w:rsidTr="00664D6E">
        <w:tc>
          <w:tcPr>
            <w:tcW w:w="562" w:type="dxa"/>
          </w:tcPr>
          <w:p w:rsidR="00E95CD9" w:rsidRDefault="008C03B4" w:rsidP="00E95CD9">
            <w:bookmarkStart w:id="0" w:name="_GoBack"/>
            <w:bookmarkEnd w:id="0"/>
            <w:r>
              <w:t>Nr.</w:t>
            </w:r>
          </w:p>
        </w:tc>
        <w:tc>
          <w:tcPr>
            <w:tcW w:w="6521" w:type="dxa"/>
          </w:tcPr>
          <w:p w:rsidR="00E95CD9" w:rsidRDefault="008C03B4" w:rsidP="00E95CD9">
            <w:r>
              <w:t>Vraag</w:t>
            </w:r>
          </w:p>
        </w:tc>
        <w:tc>
          <w:tcPr>
            <w:tcW w:w="850" w:type="dxa"/>
          </w:tcPr>
          <w:p w:rsidR="00E95CD9" w:rsidRDefault="008C03B4" w:rsidP="00E95CD9">
            <w:r>
              <w:t>Partij</w:t>
            </w:r>
          </w:p>
        </w:tc>
        <w:tc>
          <w:tcPr>
            <w:tcW w:w="6237" w:type="dxa"/>
          </w:tcPr>
          <w:p w:rsidR="00E95CD9" w:rsidRDefault="008C03B4" w:rsidP="00E95CD9">
            <w:r>
              <w:t>Antwoord</w:t>
            </w:r>
          </w:p>
        </w:tc>
      </w:tr>
      <w:tr w:rsidR="00E95CD9" w:rsidTr="00664D6E">
        <w:tc>
          <w:tcPr>
            <w:tcW w:w="562" w:type="dxa"/>
          </w:tcPr>
          <w:p w:rsidR="00E95CD9" w:rsidRPr="003A007D" w:rsidRDefault="003A007D" w:rsidP="003A007D">
            <w:pPr>
              <w:spacing w:before="100" w:beforeAutospacing="1" w:after="100" w:afterAutospacing="1"/>
              <w:rPr>
                <w:rFonts w:eastAsia="Times New Roman"/>
              </w:rPr>
            </w:pPr>
            <w:r w:rsidRPr="003A007D">
              <w:rPr>
                <w:rFonts w:eastAsia="Times New Roman"/>
              </w:rPr>
              <w:t>1</w:t>
            </w:r>
          </w:p>
        </w:tc>
        <w:tc>
          <w:tcPr>
            <w:tcW w:w="6521" w:type="dxa"/>
          </w:tcPr>
          <w:p w:rsidR="00E95CD9" w:rsidRPr="003A007D" w:rsidRDefault="003A007D" w:rsidP="003A007D">
            <w:pPr>
              <w:spacing w:before="100" w:beforeAutospacing="1" w:after="100" w:afterAutospacing="1"/>
              <w:rPr>
                <w:rFonts w:eastAsia="Times New Roman"/>
              </w:rPr>
            </w:pPr>
            <w:proofErr w:type="spellStart"/>
            <w:r>
              <w:rPr>
                <w:rFonts w:eastAsia="Times New Roman"/>
              </w:rPr>
              <w:t>Pag</w:t>
            </w:r>
            <w:proofErr w:type="spellEnd"/>
            <w:r>
              <w:rPr>
                <w:rFonts w:eastAsia="Times New Roman"/>
              </w:rPr>
              <w:t xml:space="preserve"> 6 - Leges, wordt toename van 200k verwacht in 2020 vanwege economische groei, is dat wel een terechte prognose gezien de gevolgen coronacrisis? Zien we niet vanaf maart/april een sterke economische daling?</w:t>
            </w:r>
          </w:p>
        </w:tc>
        <w:tc>
          <w:tcPr>
            <w:tcW w:w="850" w:type="dxa"/>
          </w:tcPr>
          <w:p w:rsidR="00E95CD9" w:rsidRDefault="003A007D" w:rsidP="00E95CD9">
            <w:r>
              <w:t>SGP</w:t>
            </w:r>
          </w:p>
        </w:tc>
        <w:tc>
          <w:tcPr>
            <w:tcW w:w="6237" w:type="dxa"/>
          </w:tcPr>
          <w:p w:rsidR="00E95CD9" w:rsidRDefault="00E95CD9" w:rsidP="00E95CD9"/>
        </w:tc>
      </w:tr>
      <w:tr w:rsidR="003A007D" w:rsidTr="00664D6E">
        <w:tc>
          <w:tcPr>
            <w:tcW w:w="562" w:type="dxa"/>
          </w:tcPr>
          <w:p w:rsidR="003A007D" w:rsidRPr="003A007D" w:rsidRDefault="003A007D" w:rsidP="003A007D">
            <w:pPr>
              <w:spacing w:before="100" w:beforeAutospacing="1" w:after="100" w:afterAutospacing="1"/>
              <w:rPr>
                <w:rFonts w:eastAsia="Times New Roman"/>
              </w:rPr>
            </w:pPr>
            <w:r w:rsidRPr="003A007D">
              <w:rPr>
                <w:rFonts w:eastAsia="Times New Roman"/>
              </w:rPr>
              <w:t>2</w:t>
            </w:r>
          </w:p>
        </w:tc>
        <w:tc>
          <w:tcPr>
            <w:tcW w:w="6521" w:type="dxa"/>
          </w:tcPr>
          <w:p w:rsidR="003A007D" w:rsidRPr="003A007D" w:rsidRDefault="003A007D" w:rsidP="003A007D">
            <w:pPr>
              <w:spacing w:before="100" w:beforeAutospacing="1" w:after="100" w:afterAutospacing="1"/>
              <w:rPr>
                <w:rFonts w:eastAsia="Times New Roman"/>
              </w:rPr>
            </w:pPr>
            <w:proofErr w:type="spellStart"/>
            <w:r w:rsidRPr="003A007D">
              <w:rPr>
                <w:rFonts w:eastAsia="Times New Roman"/>
              </w:rPr>
              <w:t>Pag</w:t>
            </w:r>
            <w:proofErr w:type="spellEnd"/>
            <w:r w:rsidRPr="003A007D">
              <w:rPr>
                <w:rFonts w:eastAsia="Times New Roman"/>
              </w:rPr>
              <w:t xml:space="preserve"> 6 - OZHZ: waarom zijn meerkosten structureel en opbrengsten incidenteel? (Dit kan in komende jaren voor nieuwe tekorten zorgen. Uitgangspunt is toch dat OZHZ kostendekkend is en dat kosten en inkomsten in lijn zijn?)</w:t>
            </w:r>
          </w:p>
        </w:tc>
        <w:tc>
          <w:tcPr>
            <w:tcW w:w="850" w:type="dxa"/>
          </w:tcPr>
          <w:p w:rsidR="003A007D" w:rsidRDefault="003A007D" w:rsidP="003A007D">
            <w:r w:rsidRPr="0017147D">
              <w:t>SGP</w:t>
            </w:r>
          </w:p>
        </w:tc>
        <w:tc>
          <w:tcPr>
            <w:tcW w:w="6237" w:type="dxa"/>
          </w:tcPr>
          <w:p w:rsidR="003A007D" w:rsidRDefault="003A007D" w:rsidP="003A007D"/>
        </w:tc>
      </w:tr>
      <w:tr w:rsidR="003A007D" w:rsidTr="00664D6E">
        <w:tc>
          <w:tcPr>
            <w:tcW w:w="562" w:type="dxa"/>
          </w:tcPr>
          <w:p w:rsidR="003A007D" w:rsidRDefault="003A007D" w:rsidP="003A007D">
            <w:r>
              <w:t>3</w:t>
            </w:r>
          </w:p>
        </w:tc>
        <w:tc>
          <w:tcPr>
            <w:tcW w:w="6521" w:type="dxa"/>
          </w:tcPr>
          <w:p w:rsidR="003A007D" w:rsidRPr="003A007D" w:rsidRDefault="003A007D" w:rsidP="003A007D">
            <w:pPr>
              <w:spacing w:before="100" w:beforeAutospacing="1" w:after="100" w:afterAutospacing="1"/>
              <w:rPr>
                <w:rFonts w:eastAsia="Times New Roman"/>
              </w:rPr>
            </w:pPr>
            <w:proofErr w:type="spellStart"/>
            <w:r>
              <w:rPr>
                <w:rFonts w:eastAsia="Times New Roman"/>
              </w:rPr>
              <w:t>Pag</w:t>
            </w:r>
            <w:proofErr w:type="spellEnd"/>
            <w:r>
              <w:rPr>
                <w:rFonts w:eastAsia="Times New Roman"/>
              </w:rPr>
              <w:t xml:space="preserve"> 6/7 - wanneer kan voor zowel BSSA(Blokweer) als SSM(Molenzicht) duidelijkheid zijn over de structurele tekorten die zij hebben?</w:t>
            </w:r>
          </w:p>
        </w:tc>
        <w:tc>
          <w:tcPr>
            <w:tcW w:w="850" w:type="dxa"/>
          </w:tcPr>
          <w:p w:rsidR="003A007D" w:rsidRDefault="003A007D" w:rsidP="003A007D">
            <w:r w:rsidRPr="0017147D">
              <w:t>SGP</w:t>
            </w:r>
          </w:p>
        </w:tc>
        <w:tc>
          <w:tcPr>
            <w:tcW w:w="6237" w:type="dxa"/>
          </w:tcPr>
          <w:p w:rsidR="003A007D" w:rsidRDefault="003A007D" w:rsidP="003A007D"/>
        </w:tc>
      </w:tr>
      <w:tr w:rsidR="003A007D" w:rsidTr="00664D6E">
        <w:tc>
          <w:tcPr>
            <w:tcW w:w="562" w:type="dxa"/>
          </w:tcPr>
          <w:p w:rsidR="003A007D" w:rsidRDefault="003A007D" w:rsidP="003A007D">
            <w:r>
              <w:t>4</w:t>
            </w:r>
          </w:p>
        </w:tc>
        <w:tc>
          <w:tcPr>
            <w:tcW w:w="6521" w:type="dxa"/>
          </w:tcPr>
          <w:p w:rsidR="003A007D" w:rsidRPr="003A007D" w:rsidRDefault="003A007D" w:rsidP="003A007D">
            <w:pPr>
              <w:spacing w:before="100" w:beforeAutospacing="1" w:after="100" w:afterAutospacing="1"/>
              <w:rPr>
                <w:rFonts w:eastAsia="Times New Roman"/>
              </w:rPr>
            </w:pPr>
            <w:proofErr w:type="spellStart"/>
            <w:r>
              <w:rPr>
                <w:rFonts w:eastAsia="Times New Roman"/>
              </w:rPr>
              <w:t>Pag</w:t>
            </w:r>
            <w:proofErr w:type="spellEnd"/>
            <w:r>
              <w:rPr>
                <w:rFonts w:eastAsia="Times New Roman"/>
              </w:rPr>
              <w:t xml:space="preserve"> 7 - Project KZA, wat is dat precies en wat is daarvan de status?</w:t>
            </w:r>
          </w:p>
        </w:tc>
        <w:tc>
          <w:tcPr>
            <w:tcW w:w="850" w:type="dxa"/>
          </w:tcPr>
          <w:p w:rsidR="003A007D" w:rsidRPr="0017147D" w:rsidRDefault="003A007D" w:rsidP="003A007D">
            <w:r>
              <w:t>SGP</w:t>
            </w:r>
          </w:p>
        </w:tc>
        <w:tc>
          <w:tcPr>
            <w:tcW w:w="6237" w:type="dxa"/>
          </w:tcPr>
          <w:p w:rsidR="003A007D" w:rsidRDefault="003A007D" w:rsidP="003A007D"/>
        </w:tc>
      </w:tr>
      <w:tr w:rsidR="003A007D" w:rsidTr="00664D6E">
        <w:tc>
          <w:tcPr>
            <w:tcW w:w="562" w:type="dxa"/>
          </w:tcPr>
          <w:p w:rsidR="003A007D" w:rsidRDefault="003A007D" w:rsidP="003A007D">
            <w:r>
              <w:t>5</w:t>
            </w:r>
          </w:p>
        </w:tc>
        <w:tc>
          <w:tcPr>
            <w:tcW w:w="6521" w:type="dxa"/>
          </w:tcPr>
          <w:p w:rsidR="003A007D" w:rsidRPr="003A007D" w:rsidRDefault="003A007D" w:rsidP="003A007D">
            <w:pPr>
              <w:spacing w:before="100" w:beforeAutospacing="1" w:after="100" w:afterAutospacing="1"/>
              <w:rPr>
                <w:rFonts w:eastAsia="Times New Roman"/>
              </w:rPr>
            </w:pPr>
            <w:proofErr w:type="spellStart"/>
            <w:r w:rsidRPr="003A007D">
              <w:rPr>
                <w:rFonts w:eastAsia="Times New Roman"/>
              </w:rPr>
              <w:t>Pag</w:t>
            </w:r>
            <w:proofErr w:type="spellEnd"/>
            <w:r w:rsidRPr="003A007D">
              <w:rPr>
                <w:rFonts w:eastAsia="Times New Roman"/>
              </w:rPr>
              <w:t xml:space="preserve"> 7 - dienstauto. Waren meerkosten niet te voorzien of is geswitcht naar elektrisch na vaststellen begroting?</w:t>
            </w:r>
          </w:p>
        </w:tc>
        <w:tc>
          <w:tcPr>
            <w:tcW w:w="850" w:type="dxa"/>
          </w:tcPr>
          <w:p w:rsidR="003A007D" w:rsidRDefault="003A007D" w:rsidP="003A007D">
            <w:r>
              <w:t>SGP</w:t>
            </w:r>
          </w:p>
        </w:tc>
        <w:tc>
          <w:tcPr>
            <w:tcW w:w="6237" w:type="dxa"/>
          </w:tcPr>
          <w:p w:rsidR="003A007D" w:rsidRDefault="003A007D" w:rsidP="003A007D"/>
        </w:tc>
      </w:tr>
      <w:tr w:rsidR="003A007D" w:rsidTr="00664D6E">
        <w:tc>
          <w:tcPr>
            <w:tcW w:w="562" w:type="dxa"/>
          </w:tcPr>
          <w:p w:rsidR="003A007D" w:rsidRDefault="003A007D" w:rsidP="003A007D">
            <w:r>
              <w:t>6</w:t>
            </w:r>
          </w:p>
        </w:tc>
        <w:tc>
          <w:tcPr>
            <w:tcW w:w="6521" w:type="dxa"/>
          </w:tcPr>
          <w:p w:rsidR="003A007D" w:rsidRPr="003A007D" w:rsidRDefault="003A007D" w:rsidP="003A007D">
            <w:pPr>
              <w:spacing w:before="100" w:beforeAutospacing="1" w:after="100" w:afterAutospacing="1"/>
              <w:rPr>
                <w:rFonts w:eastAsia="Times New Roman"/>
              </w:rPr>
            </w:pPr>
            <w:proofErr w:type="spellStart"/>
            <w:r w:rsidRPr="003A007D">
              <w:rPr>
                <w:rFonts w:eastAsia="Times New Roman"/>
              </w:rPr>
              <w:t>Pag</w:t>
            </w:r>
            <w:proofErr w:type="spellEnd"/>
            <w:r w:rsidRPr="003A007D">
              <w:rPr>
                <w:rFonts w:eastAsia="Times New Roman"/>
              </w:rPr>
              <w:t xml:space="preserve"> 8 - energiestrategie. 48k bovenop 238k. Zou graag willen weten wat we hiervoor doen/waarom dit nodig is.</w:t>
            </w:r>
          </w:p>
        </w:tc>
        <w:tc>
          <w:tcPr>
            <w:tcW w:w="850" w:type="dxa"/>
          </w:tcPr>
          <w:p w:rsidR="003A007D" w:rsidRDefault="003A007D" w:rsidP="003A007D">
            <w:r>
              <w:t>SGP</w:t>
            </w:r>
          </w:p>
        </w:tc>
        <w:tc>
          <w:tcPr>
            <w:tcW w:w="6237" w:type="dxa"/>
          </w:tcPr>
          <w:p w:rsidR="003A007D" w:rsidRDefault="003A007D" w:rsidP="003A007D"/>
        </w:tc>
      </w:tr>
      <w:tr w:rsidR="003A007D" w:rsidTr="00664D6E">
        <w:tc>
          <w:tcPr>
            <w:tcW w:w="562" w:type="dxa"/>
          </w:tcPr>
          <w:p w:rsidR="003A007D" w:rsidRDefault="003A007D" w:rsidP="003A007D">
            <w:r>
              <w:t>7</w:t>
            </w:r>
          </w:p>
        </w:tc>
        <w:tc>
          <w:tcPr>
            <w:tcW w:w="6521" w:type="dxa"/>
          </w:tcPr>
          <w:p w:rsidR="003A007D" w:rsidRDefault="003A007D" w:rsidP="003A007D">
            <w:pPr>
              <w:spacing w:before="100" w:beforeAutospacing="1" w:after="100" w:afterAutospacing="1"/>
              <w:rPr>
                <w:rFonts w:eastAsia="Times New Roman"/>
              </w:rPr>
            </w:pPr>
            <w:proofErr w:type="spellStart"/>
            <w:r w:rsidRPr="003A007D">
              <w:rPr>
                <w:rFonts w:eastAsia="Times New Roman"/>
              </w:rPr>
              <w:t>Pag</w:t>
            </w:r>
            <w:proofErr w:type="spellEnd"/>
            <w:r w:rsidRPr="003A007D">
              <w:rPr>
                <w:rFonts w:eastAsia="Times New Roman"/>
              </w:rPr>
              <w:t xml:space="preserve"> 12 - punt 4. Heeft gemeente al enig zicht wat deze organisaties in april tekort kwamen? (Daarmee ontstaat hopelijk enig gevoel waar we het over hebben)</w:t>
            </w:r>
          </w:p>
          <w:p w:rsidR="003A007D" w:rsidRPr="003A007D" w:rsidRDefault="003A007D" w:rsidP="003A007D">
            <w:pPr>
              <w:rPr>
                <w:rFonts w:eastAsia="Times New Roman"/>
              </w:rPr>
            </w:pPr>
          </w:p>
        </w:tc>
        <w:tc>
          <w:tcPr>
            <w:tcW w:w="850" w:type="dxa"/>
          </w:tcPr>
          <w:p w:rsidR="003A007D" w:rsidRDefault="003A007D" w:rsidP="003A007D">
            <w:r>
              <w:t>SGP</w:t>
            </w:r>
          </w:p>
        </w:tc>
        <w:tc>
          <w:tcPr>
            <w:tcW w:w="6237" w:type="dxa"/>
          </w:tcPr>
          <w:p w:rsidR="003A007D" w:rsidRDefault="003A007D" w:rsidP="003A007D"/>
        </w:tc>
      </w:tr>
      <w:tr w:rsidR="003A007D" w:rsidTr="00664D6E">
        <w:tc>
          <w:tcPr>
            <w:tcW w:w="562" w:type="dxa"/>
          </w:tcPr>
          <w:p w:rsidR="003A007D" w:rsidRDefault="003A007D" w:rsidP="003A007D"/>
        </w:tc>
        <w:tc>
          <w:tcPr>
            <w:tcW w:w="6521" w:type="dxa"/>
          </w:tcPr>
          <w:p w:rsidR="003A007D" w:rsidRDefault="003A007D" w:rsidP="003A007D">
            <w:pPr>
              <w:rPr>
                <w:rFonts w:ascii="UICTFontTextStyleTallBody" w:eastAsia="Times New Roman" w:hAnsi="UICTFontTextStyleTallBody"/>
                <w:color w:val="000000"/>
              </w:rPr>
            </w:pPr>
          </w:p>
        </w:tc>
        <w:tc>
          <w:tcPr>
            <w:tcW w:w="850" w:type="dxa"/>
          </w:tcPr>
          <w:p w:rsidR="003A007D" w:rsidRDefault="003A007D" w:rsidP="003A007D"/>
        </w:tc>
        <w:tc>
          <w:tcPr>
            <w:tcW w:w="6237" w:type="dxa"/>
          </w:tcPr>
          <w:p w:rsidR="003A007D" w:rsidRDefault="003A007D" w:rsidP="003A007D"/>
        </w:tc>
      </w:tr>
    </w:tbl>
    <w:p w:rsidR="0011671D" w:rsidRDefault="00E95CD9">
      <w:r>
        <w:t xml:space="preserve">Technische vragen bij </w:t>
      </w:r>
      <w:r w:rsidR="003A007D">
        <w:t>1</w:t>
      </w:r>
      <w:r w:rsidR="003A007D" w:rsidRPr="003A007D">
        <w:rPr>
          <w:vertAlign w:val="superscript"/>
        </w:rPr>
        <w:t>e</w:t>
      </w:r>
      <w:r w:rsidR="003A007D">
        <w:t xml:space="preserve"> </w:t>
      </w:r>
      <w:proofErr w:type="spellStart"/>
      <w:r w:rsidR="003A007D">
        <w:t>bestuursrapportage</w:t>
      </w:r>
      <w:proofErr w:type="spellEnd"/>
      <w:r w:rsidR="003A007D">
        <w:t xml:space="preserve"> 2020</w:t>
      </w:r>
    </w:p>
    <w:sectPr w:rsidR="0011671D" w:rsidSect="0052106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UICTFontTextStyleTall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75C8E"/>
    <w:multiLevelType w:val="multilevel"/>
    <w:tmpl w:val="E4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5E"/>
    <w:rsid w:val="00030168"/>
    <w:rsid w:val="003A007D"/>
    <w:rsid w:val="00521060"/>
    <w:rsid w:val="00664D6E"/>
    <w:rsid w:val="00681F00"/>
    <w:rsid w:val="0081265E"/>
    <w:rsid w:val="008C03B4"/>
    <w:rsid w:val="00AE25BB"/>
    <w:rsid w:val="00E95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4D9D2-0FEF-45E0-958A-601524B7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1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03B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112">
      <w:bodyDiv w:val="1"/>
      <w:marLeft w:val="0"/>
      <w:marRight w:val="0"/>
      <w:marTop w:val="0"/>
      <w:marBottom w:val="0"/>
      <w:divBdr>
        <w:top w:val="none" w:sz="0" w:space="0" w:color="auto"/>
        <w:left w:val="none" w:sz="0" w:space="0" w:color="auto"/>
        <w:bottom w:val="none" w:sz="0" w:space="0" w:color="auto"/>
        <w:right w:val="none" w:sz="0" w:space="0" w:color="auto"/>
      </w:divBdr>
    </w:div>
    <w:div w:id="75438276">
      <w:bodyDiv w:val="1"/>
      <w:marLeft w:val="0"/>
      <w:marRight w:val="0"/>
      <w:marTop w:val="0"/>
      <w:marBottom w:val="0"/>
      <w:divBdr>
        <w:top w:val="none" w:sz="0" w:space="0" w:color="auto"/>
        <w:left w:val="none" w:sz="0" w:space="0" w:color="auto"/>
        <w:bottom w:val="none" w:sz="0" w:space="0" w:color="auto"/>
        <w:right w:val="none" w:sz="0" w:space="0" w:color="auto"/>
      </w:divBdr>
    </w:div>
    <w:div w:id="289283053">
      <w:bodyDiv w:val="1"/>
      <w:marLeft w:val="0"/>
      <w:marRight w:val="0"/>
      <w:marTop w:val="0"/>
      <w:marBottom w:val="0"/>
      <w:divBdr>
        <w:top w:val="none" w:sz="0" w:space="0" w:color="auto"/>
        <w:left w:val="none" w:sz="0" w:space="0" w:color="auto"/>
        <w:bottom w:val="none" w:sz="0" w:space="0" w:color="auto"/>
        <w:right w:val="none" w:sz="0" w:space="0" w:color="auto"/>
      </w:divBdr>
    </w:div>
    <w:div w:id="332882291">
      <w:bodyDiv w:val="1"/>
      <w:marLeft w:val="0"/>
      <w:marRight w:val="0"/>
      <w:marTop w:val="0"/>
      <w:marBottom w:val="0"/>
      <w:divBdr>
        <w:top w:val="none" w:sz="0" w:space="0" w:color="auto"/>
        <w:left w:val="none" w:sz="0" w:space="0" w:color="auto"/>
        <w:bottom w:val="none" w:sz="0" w:space="0" w:color="auto"/>
        <w:right w:val="none" w:sz="0" w:space="0" w:color="auto"/>
      </w:divBdr>
    </w:div>
    <w:div w:id="333265376">
      <w:bodyDiv w:val="1"/>
      <w:marLeft w:val="0"/>
      <w:marRight w:val="0"/>
      <w:marTop w:val="0"/>
      <w:marBottom w:val="0"/>
      <w:divBdr>
        <w:top w:val="none" w:sz="0" w:space="0" w:color="auto"/>
        <w:left w:val="none" w:sz="0" w:space="0" w:color="auto"/>
        <w:bottom w:val="none" w:sz="0" w:space="0" w:color="auto"/>
        <w:right w:val="none" w:sz="0" w:space="0" w:color="auto"/>
      </w:divBdr>
    </w:div>
    <w:div w:id="654339837">
      <w:bodyDiv w:val="1"/>
      <w:marLeft w:val="0"/>
      <w:marRight w:val="0"/>
      <w:marTop w:val="0"/>
      <w:marBottom w:val="0"/>
      <w:divBdr>
        <w:top w:val="none" w:sz="0" w:space="0" w:color="auto"/>
        <w:left w:val="none" w:sz="0" w:space="0" w:color="auto"/>
        <w:bottom w:val="none" w:sz="0" w:space="0" w:color="auto"/>
        <w:right w:val="none" w:sz="0" w:space="0" w:color="auto"/>
      </w:divBdr>
    </w:div>
    <w:div w:id="754668077">
      <w:bodyDiv w:val="1"/>
      <w:marLeft w:val="0"/>
      <w:marRight w:val="0"/>
      <w:marTop w:val="0"/>
      <w:marBottom w:val="0"/>
      <w:divBdr>
        <w:top w:val="none" w:sz="0" w:space="0" w:color="auto"/>
        <w:left w:val="none" w:sz="0" w:space="0" w:color="auto"/>
        <w:bottom w:val="none" w:sz="0" w:space="0" w:color="auto"/>
        <w:right w:val="none" w:sz="0" w:space="0" w:color="auto"/>
      </w:divBdr>
    </w:div>
    <w:div w:id="1499929283">
      <w:bodyDiv w:val="1"/>
      <w:marLeft w:val="0"/>
      <w:marRight w:val="0"/>
      <w:marTop w:val="0"/>
      <w:marBottom w:val="0"/>
      <w:divBdr>
        <w:top w:val="none" w:sz="0" w:space="0" w:color="auto"/>
        <w:left w:val="none" w:sz="0" w:space="0" w:color="auto"/>
        <w:bottom w:val="none" w:sz="0" w:space="0" w:color="auto"/>
        <w:right w:val="none" w:sz="0" w:space="0" w:color="auto"/>
      </w:divBdr>
    </w:div>
    <w:div w:id="17178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971</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 (Ingrid)</dc:creator>
  <cp:keywords/>
  <dc:description/>
  <cp:lastModifiedBy>Conrad-Smit, AJA (Antoinette)</cp:lastModifiedBy>
  <cp:revision>2</cp:revision>
  <dcterms:created xsi:type="dcterms:W3CDTF">2020-06-10T06:52:00Z</dcterms:created>
  <dcterms:modified xsi:type="dcterms:W3CDTF">2020-06-10T06:52:00Z</dcterms:modified>
</cp:coreProperties>
</file>