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86" w:rsidRDefault="00DB6486">
      <w:pPr>
        <w:spacing w:line="276" w:lineRule="auto"/>
        <w:outlineLvl w:val="0"/>
        <w:rPr>
          <w:b/>
          <w:bCs/>
          <w:sz w:val="28"/>
          <w:szCs w:val="28"/>
          <w:lang w:val="en-US"/>
        </w:rPr>
      </w:pPr>
    </w:p>
    <w:p w:rsidR="00DB6486" w:rsidRDefault="007E3FA4">
      <w:pPr>
        <w:spacing w:line="276" w:lineRule="auto"/>
        <w:outlineLvl w:val="0"/>
        <w:rPr>
          <w:i/>
          <w:iCs/>
          <w:sz w:val="20"/>
          <w:szCs w:val="20"/>
        </w:rPr>
      </w:pPr>
      <w:r>
        <w:rPr>
          <w:b/>
          <w:bCs/>
          <w:sz w:val="28"/>
          <w:szCs w:val="28"/>
          <w:lang w:val="en-US"/>
        </w:rPr>
        <w:t xml:space="preserve">RAPPORT ADHOC COMMISSIE BENOEMBAARHEID WETHOUDER </w:t>
      </w:r>
      <w:proofErr w:type="spellStart"/>
      <w:r>
        <w:rPr>
          <w:b/>
          <w:bCs/>
          <w:sz w:val="28"/>
          <w:szCs w:val="28"/>
          <w:lang w:val="en-US"/>
        </w:rPr>
        <w:t>d.d</w:t>
      </w:r>
      <w:proofErr w:type="spellEnd"/>
      <w:r>
        <w:rPr>
          <w:b/>
          <w:bCs/>
          <w:sz w:val="28"/>
          <w:szCs w:val="28"/>
          <w:lang w:val="en-US"/>
        </w:rPr>
        <w:t xml:space="preserve">. 14 </w:t>
      </w:r>
      <w:proofErr w:type="spellStart"/>
      <w:r>
        <w:rPr>
          <w:b/>
          <w:bCs/>
          <w:sz w:val="28"/>
          <w:szCs w:val="28"/>
          <w:lang w:val="en-US"/>
        </w:rPr>
        <w:t>december</w:t>
      </w:r>
      <w:proofErr w:type="spellEnd"/>
      <w:r>
        <w:rPr>
          <w:b/>
          <w:bCs/>
          <w:sz w:val="28"/>
          <w:szCs w:val="28"/>
          <w:lang w:val="en-US"/>
        </w:rPr>
        <w:t xml:space="preserve"> 2020</w:t>
      </w:r>
    </w:p>
    <w:p w:rsidR="00DB6486" w:rsidRDefault="00DB6486">
      <w:pPr>
        <w:spacing w:line="276" w:lineRule="auto"/>
        <w:outlineLvl w:val="0"/>
        <w:rPr>
          <w:sz w:val="20"/>
          <w:szCs w:val="20"/>
        </w:rPr>
      </w:pPr>
    </w:p>
    <w:p w:rsidR="00DB6486" w:rsidRDefault="00DB6486">
      <w:pPr>
        <w:spacing w:line="276" w:lineRule="auto"/>
        <w:outlineLvl w:val="0"/>
        <w:rPr>
          <w:rFonts w:ascii="Calibri" w:eastAsia="Calibri" w:hAnsi="Calibri" w:cs="Calibri"/>
          <w:b/>
          <w:bCs/>
        </w:rPr>
      </w:pPr>
    </w:p>
    <w:p w:rsidR="00A90D83" w:rsidRPr="00A90D83" w:rsidRDefault="00A90D83" w:rsidP="00A90D83">
      <w:pPr>
        <w:rPr>
          <w:rFonts w:cs="Arial"/>
          <w:color w:val="auto"/>
          <w:sz w:val="22"/>
          <w:szCs w:val="22"/>
        </w:rPr>
      </w:pPr>
      <w:r w:rsidRPr="00A90D83">
        <w:rPr>
          <w:rFonts w:cs="Arial"/>
          <w:color w:val="auto"/>
          <w:sz w:val="22"/>
          <w:szCs w:val="22"/>
        </w:rPr>
        <w:t xml:space="preserve">De </w:t>
      </w:r>
      <w:proofErr w:type="spellStart"/>
      <w:r w:rsidRPr="00A90D83">
        <w:rPr>
          <w:rFonts w:cs="Arial"/>
          <w:color w:val="auto"/>
          <w:sz w:val="22"/>
          <w:szCs w:val="22"/>
        </w:rPr>
        <w:t>adhoc</w:t>
      </w:r>
      <w:proofErr w:type="spellEnd"/>
      <w:r w:rsidRPr="00A90D83">
        <w:rPr>
          <w:rFonts w:cs="Arial"/>
          <w:color w:val="auto"/>
          <w:sz w:val="22"/>
          <w:szCs w:val="22"/>
        </w:rPr>
        <w:t xml:space="preserve"> commissie benoeming wethouder digitaal bijeen op maandag 14 december 2</w:t>
      </w:r>
      <w:r w:rsidRPr="00A90D83">
        <w:rPr>
          <w:rFonts w:cs="Arial"/>
          <w:color w:val="auto"/>
          <w:sz w:val="22"/>
          <w:szCs w:val="22"/>
        </w:rPr>
        <w:t>020 heeft het volgende bevonden:</w:t>
      </w:r>
    </w:p>
    <w:p w:rsidR="00A90D83" w:rsidRPr="00A90D83" w:rsidRDefault="00A90D83" w:rsidP="00A90D83">
      <w:pPr>
        <w:rPr>
          <w:rFonts w:cs="Arial"/>
          <w:color w:val="auto"/>
          <w:sz w:val="22"/>
          <w:szCs w:val="22"/>
        </w:rPr>
      </w:pPr>
    </w:p>
    <w:p w:rsidR="00A90D83" w:rsidRPr="00A90D83" w:rsidRDefault="00A90D83" w:rsidP="00A90D83">
      <w:pPr>
        <w:rPr>
          <w:rFonts w:cs="Arial"/>
          <w:color w:val="auto"/>
          <w:sz w:val="22"/>
          <w:szCs w:val="22"/>
        </w:rPr>
      </w:pPr>
    </w:p>
    <w:p w:rsidR="00A90D83" w:rsidRPr="00A90D83" w:rsidRDefault="00A90D83" w:rsidP="00A90D83">
      <w:pPr>
        <w:rPr>
          <w:rFonts w:cs="Arial"/>
          <w:color w:val="auto"/>
          <w:sz w:val="22"/>
          <w:szCs w:val="22"/>
        </w:rPr>
      </w:pPr>
      <w:r w:rsidRPr="00A90D83">
        <w:rPr>
          <w:rFonts w:cs="Arial"/>
          <w:color w:val="auto"/>
          <w:sz w:val="22"/>
          <w:szCs w:val="22"/>
        </w:rPr>
        <w:t xml:space="preserve">De </w:t>
      </w:r>
      <w:proofErr w:type="spellStart"/>
      <w:r w:rsidRPr="00A90D83">
        <w:rPr>
          <w:rFonts w:cs="Arial"/>
          <w:color w:val="auto"/>
          <w:sz w:val="22"/>
          <w:szCs w:val="22"/>
        </w:rPr>
        <w:t>adhoc</w:t>
      </w:r>
      <w:proofErr w:type="spellEnd"/>
      <w:r w:rsidRPr="00A90D83">
        <w:rPr>
          <w:rFonts w:cs="Arial"/>
          <w:color w:val="auto"/>
          <w:sz w:val="22"/>
          <w:szCs w:val="22"/>
        </w:rPr>
        <w:t xml:space="preserve"> commissie toetst de van de kandidaat ontvangen documenten en informatie aan de hand</w:t>
      </w:r>
      <w:r>
        <w:rPr>
          <w:rFonts w:cs="Arial"/>
          <w:color w:val="auto"/>
          <w:sz w:val="22"/>
          <w:szCs w:val="22"/>
        </w:rPr>
        <w:t xml:space="preserve"> </w:t>
      </w:r>
      <w:r w:rsidRPr="00A90D83">
        <w:rPr>
          <w:rFonts w:cs="Arial"/>
          <w:color w:val="auto"/>
          <w:sz w:val="22"/>
          <w:szCs w:val="22"/>
        </w:rPr>
        <w:t>van in elk geval een zestal voorschriften:</w:t>
      </w:r>
    </w:p>
    <w:p w:rsidR="00A90D83" w:rsidRPr="00A90D83" w:rsidRDefault="00A90D83" w:rsidP="00A90D83">
      <w:pPr>
        <w:rPr>
          <w:rFonts w:cs="Arial"/>
          <w:color w:val="auto"/>
          <w:sz w:val="22"/>
          <w:szCs w:val="22"/>
        </w:rPr>
      </w:pPr>
      <w:r w:rsidRPr="00A90D83">
        <w:rPr>
          <w:rFonts w:cs="Arial"/>
          <w:color w:val="auto"/>
          <w:sz w:val="22"/>
          <w:szCs w:val="22"/>
        </w:rPr>
        <w:t>− de artikelen 35, 36a, 10 en 41 Gemeentewet (benoembaarheidsvereisten);</w:t>
      </w:r>
    </w:p>
    <w:p w:rsidR="00A90D83" w:rsidRPr="00A90D83" w:rsidRDefault="00A90D83" w:rsidP="00A90D83">
      <w:pPr>
        <w:rPr>
          <w:rFonts w:cs="Arial"/>
          <w:color w:val="auto"/>
          <w:sz w:val="22"/>
          <w:szCs w:val="22"/>
        </w:rPr>
      </w:pPr>
      <w:r w:rsidRPr="00A90D83">
        <w:rPr>
          <w:rFonts w:cs="Arial"/>
          <w:color w:val="auto"/>
          <w:sz w:val="22"/>
          <w:szCs w:val="22"/>
        </w:rPr>
        <w:t>− de artikelen 41b en 12 Gemeentewet (nevenfuncties);</w:t>
      </w:r>
    </w:p>
    <w:p w:rsidR="00A90D83" w:rsidRPr="00A90D83" w:rsidRDefault="00A90D83" w:rsidP="00A90D83">
      <w:pPr>
        <w:rPr>
          <w:rFonts w:cs="Arial"/>
          <w:color w:val="auto"/>
          <w:sz w:val="22"/>
          <w:szCs w:val="22"/>
        </w:rPr>
      </w:pPr>
      <w:r w:rsidRPr="00A90D83">
        <w:rPr>
          <w:rFonts w:cs="Arial"/>
          <w:color w:val="auto"/>
          <w:sz w:val="22"/>
          <w:szCs w:val="22"/>
        </w:rPr>
        <w:t>− artikel 36b Gemeentewet (onverenigbare functies);</w:t>
      </w:r>
    </w:p>
    <w:p w:rsidR="00A90D83" w:rsidRPr="00A90D83" w:rsidRDefault="00A90D83" w:rsidP="00A90D83">
      <w:pPr>
        <w:rPr>
          <w:rFonts w:cs="Arial"/>
          <w:color w:val="auto"/>
          <w:sz w:val="22"/>
          <w:szCs w:val="22"/>
        </w:rPr>
      </w:pPr>
      <w:r w:rsidRPr="00A90D83">
        <w:rPr>
          <w:rFonts w:cs="Arial"/>
          <w:color w:val="auto"/>
          <w:sz w:val="22"/>
          <w:szCs w:val="22"/>
        </w:rPr>
        <w:t>− de artikelen 41c, 15 en 46 (onverenigbare of verboden handelingen);</w:t>
      </w:r>
    </w:p>
    <w:p w:rsidR="00A90D83" w:rsidRPr="00A90D83" w:rsidRDefault="00A90D83" w:rsidP="00A90D83">
      <w:pPr>
        <w:rPr>
          <w:rFonts w:cs="Arial"/>
          <w:color w:val="auto"/>
          <w:sz w:val="22"/>
          <w:szCs w:val="22"/>
        </w:rPr>
      </w:pPr>
      <w:r w:rsidRPr="00A90D83">
        <w:rPr>
          <w:rFonts w:cs="Arial"/>
          <w:color w:val="auto"/>
          <w:sz w:val="22"/>
          <w:szCs w:val="22"/>
        </w:rPr>
        <w:t>− de bestuurlijke gedragscode;</w:t>
      </w:r>
    </w:p>
    <w:p w:rsidR="00A90D83" w:rsidRPr="00A90D83" w:rsidRDefault="00A90D83" w:rsidP="00A90D83">
      <w:pPr>
        <w:rPr>
          <w:rFonts w:cs="Arial"/>
          <w:color w:val="auto"/>
          <w:sz w:val="22"/>
          <w:szCs w:val="22"/>
        </w:rPr>
      </w:pPr>
      <w:r w:rsidRPr="00A90D83">
        <w:rPr>
          <w:rFonts w:cs="Arial"/>
          <w:color w:val="auto"/>
          <w:sz w:val="22"/>
          <w:szCs w:val="22"/>
        </w:rPr>
        <w:t>− Verklaring omtrent gedrag</w:t>
      </w:r>
    </w:p>
    <w:p w:rsidR="00A90D83" w:rsidRPr="00A90D83" w:rsidRDefault="00A90D83" w:rsidP="00A90D83">
      <w:pPr>
        <w:rPr>
          <w:rFonts w:cs="Arial"/>
          <w:color w:val="auto"/>
          <w:sz w:val="22"/>
          <w:szCs w:val="22"/>
        </w:rPr>
      </w:pPr>
      <w:r w:rsidRPr="00A90D83">
        <w:rPr>
          <w:rFonts w:cs="Arial"/>
          <w:color w:val="auto"/>
          <w:sz w:val="22"/>
          <w:szCs w:val="22"/>
        </w:rPr>
        <w:t>en brengt advies uit aan de gemeenteraad over de benoembaarheid van de kandidaat.</w:t>
      </w:r>
    </w:p>
    <w:p w:rsidR="00A90D83" w:rsidRPr="00A90D83" w:rsidRDefault="00A90D83" w:rsidP="00A90D83">
      <w:pPr>
        <w:rPr>
          <w:rFonts w:cs="Arial"/>
          <w:color w:val="auto"/>
          <w:sz w:val="22"/>
          <w:szCs w:val="22"/>
        </w:rPr>
      </w:pPr>
    </w:p>
    <w:p w:rsidR="00A90D83" w:rsidRPr="00A90D83" w:rsidRDefault="00A90D83" w:rsidP="00A90D83">
      <w:pPr>
        <w:rPr>
          <w:rFonts w:cs="Arial"/>
          <w:color w:val="auto"/>
          <w:sz w:val="22"/>
          <w:szCs w:val="22"/>
        </w:rPr>
      </w:pPr>
      <w:r w:rsidRPr="00A90D83">
        <w:rPr>
          <w:rFonts w:cs="Arial"/>
          <w:color w:val="auto"/>
          <w:sz w:val="22"/>
          <w:szCs w:val="22"/>
        </w:rPr>
        <w:t xml:space="preserve">Uit de stukken is de commissie </w:t>
      </w:r>
      <w:r w:rsidRPr="00A90D83">
        <w:rPr>
          <w:rFonts w:cs="Arial"/>
          <w:b/>
          <w:bCs/>
          <w:color w:val="auto"/>
          <w:sz w:val="22"/>
          <w:szCs w:val="22"/>
        </w:rPr>
        <w:t>niet</w:t>
      </w:r>
      <w:r w:rsidRPr="00A90D83">
        <w:rPr>
          <w:rFonts w:cs="Arial"/>
          <w:color w:val="auto"/>
          <w:sz w:val="22"/>
          <w:szCs w:val="22"/>
        </w:rPr>
        <w:t xml:space="preserve"> kunnen blijken dat er feitelijke beletselen zijn die de benoembaarheid van dhr. Jongmans tot wethouder van de gemeente Alblasserdam in de weg staan. </w:t>
      </w:r>
    </w:p>
    <w:p w:rsidR="00A90D83" w:rsidRPr="00A90D83" w:rsidRDefault="00A90D83" w:rsidP="00A90D83">
      <w:pPr>
        <w:rPr>
          <w:rFonts w:cs="Arial"/>
          <w:color w:val="auto"/>
          <w:sz w:val="22"/>
          <w:szCs w:val="22"/>
        </w:rPr>
      </w:pPr>
    </w:p>
    <w:p w:rsidR="00A90D83" w:rsidRPr="00A90D83" w:rsidRDefault="00A90D83" w:rsidP="00A90D83">
      <w:pPr>
        <w:rPr>
          <w:rFonts w:cs="Arial"/>
          <w:color w:val="auto"/>
          <w:sz w:val="22"/>
          <w:szCs w:val="22"/>
        </w:rPr>
      </w:pPr>
      <w:r w:rsidRPr="00A90D83">
        <w:rPr>
          <w:rFonts w:cs="Arial"/>
          <w:color w:val="auto"/>
          <w:sz w:val="22"/>
          <w:szCs w:val="22"/>
        </w:rPr>
        <w:t>Wel merkt de commissie het volgende op:</w:t>
      </w:r>
    </w:p>
    <w:p w:rsidR="00A90D83" w:rsidRPr="00A90D83" w:rsidRDefault="00A90D83" w:rsidP="00A90D83">
      <w:pPr>
        <w:pStyle w:val="Lijstalinea"/>
        <w:numPr>
          <w:ilvl w:val="0"/>
          <w:numId w:val="1"/>
        </w:numPr>
        <w:rPr>
          <w:rFonts w:ascii="Arial" w:hAnsi="Arial" w:cs="Arial"/>
        </w:rPr>
      </w:pPr>
      <w:r w:rsidRPr="00A90D83">
        <w:rPr>
          <w:rFonts w:ascii="Arial" w:hAnsi="Arial" w:cs="Arial"/>
        </w:rPr>
        <w:t>gelet op de woonplaats van d</w:t>
      </w:r>
      <w:r w:rsidRPr="00A90D83">
        <w:rPr>
          <w:rFonts w:ascii="Arial" w:hAnsi="Arial" w:cs="Arial"/>
        </w:rPr>
        <w:t>e heer</w:t>
      </w:r>
      <w:r w:rsidRPr="00A90D83">
        <w:rPr>
          <w:rFonts w:ascii="Arial" w:hAnsi="Arial" w:cs="Arial"/>
        </w:rPr>
        <w:t xml:space="preserve"> Jongmans zal hem bij benoeming tot wethouder van Alblasserdam ontheffing van het ingezetenschap verleend moeten worden,</w:t>
      </w:r>
    </w:p>
    <w:p w:rsidR="00A90D83" w:rsidRPr="00A90D83" w:rsidRDefault="00A90D83" w:rsidP="00A90D83">
      <w:pPr>
        <w:pStyle w:val="Lijstalinea"/>
        <w:numPr>
          <w:ilvl w:val="0"/>
          <w:numId w:val="1"/>
        </w:numPr>
        <w:rPr>
          <w:rFonts w:ascii="Arial" w:hAnsi="Arial" w:cs="Arial"/>
        </w:rPr>
      </w:pPr>
      <w:r w:rsidRPr="00A90D83">
        <w:rPr>
          <w:rFonts w:ascii="Arial" w:hAnsi="Arial" w:cs="Arial"/>
        </w:rPr>
        <w:t>gelet op de gewenste fulltime vervulling van het wethouderschap zullen de nevenfuncties van d</w:t>
      </w:r>
      <w:r w:rsidRPr="00A90D83">
        <w:rPr>
          <w:rFonts w:ascii="Arial" w:hAnsi="Arial" w:cs="Arial"/>
        </w:rPr>
        <w:t>e heer</w:t>
      </w:r>
      <w:r w:rsidRPr="00A90D83">
        <w:rPr>
          <w:rFonts w:ascii="Arial" w:hAnsi="Arial" w:cs="Arial"/>
        </w:rPr>
        <w:t xml:space="preserve"> Jongmans en de inkomsten daaruit openbaar gemaakt moeten worden,</w:t>
      </w:r>
    </w:p>
    <w:p w:rsidR="00A90D83" w:rsidRPr="00A90D83" w:rsidRDefault="00A90D83" w:rsidP="00A90D83">
      <w:pPr>
        <w:pStyle w:val="Lijstalinea"/>
        <w:numPr>
          <w:ilvl w:val="0"/>
          <w:numId w:val="1"/>
        </w:numPr>
        <w:rPr>
          <w:rFonts w:ascii="Arial" w:hAnsi="Arial" w:cs="Arial"/>
        </w:rPr>
      </w:pPr>
      <w:r w:rsidRPr="00A90D83">
        <w:rPr>
          <w:rFonts w:ascii="Arial" w:hAnsi="Arial" w:cs="Arial"/>
        </w:rPr>
        <w:t>zal d</w:t>
      </w:r>
      <w:r w:rsidRPr="00A90D83">
        <w:rPr>
          <w:rFonts w:ascii="Arial" w:hAnsi="Arial" w:cs="Arial"/>
        </w:rPr>
        <w:t>e heer</w:t>
      </w:r>
      <w:r w:rsidRPr="00A90D83">
        <w:rPr>
          <w:rFonts w:ascii="Arial" w:hAnsi="Arial" w:cs="Arial"/>
        </w:rPr>
        <w:t xml:space="preserve"> Jongmans uit hoofde van zijn nevenfunctie bij de landelijk geschillencommissie Sociaal domein geen zaken kunnen behandelen waarbij de gemeente Alblasserdam partij is,</w:t>
      </w:r>
    </w:p>
    <w:p w:rsidR="00A90D83" w:rsidRPr="00A90D83" w:rsidRDefault="00A90D83" w:rsidP="00A90D83">
      <w:pPr>
        <w:pStyle w:val="Lijstalinea"/>
        <w:numPr>
          <w:ilvl w:val="0"/>
          <w:numId w:val="1"/>
        </w:numPr>
        <w:rPr>
          <w:rFonts w:ascii="Arial" w:hAnsi="Arial" w:cs="Arial"/>
        </w:rPr>
      </w:pPr>
      <w:r w:rsidRPr="00A90D83">
        <w:rPr>
          <w:rFonts w:ascii="Arial" w:hAnsi="Arial" w:cs="Arial"/>
        </w:rPr>
        <w:t>er weliswaar een VOG is aangevraagd maar deze nog niet is verstrekt</w:t>
      </w:r>
    </w:p>
    <w:p w:rsidR="00A90D83" w:rsidRPr="00A90D83" w:rsidRDefault="00A90D83" w:rsidP="00A90D83">
      <w:pPr>
        <w:pStyle w:val="Lijstalinea"/>
        <w:numPr>
          <w:ilvl w:val="0"/>
          <w:numId w:val="1"/>
        </w:numPr>
        <w:rPr>
          <w:rFonts w:ascii="Arial" w:hAnsi="Arial" w:cs="Arial"/>
        </w:rPr>
      </w:pPr>
      <w:r w:rsidRPr="00A90D83">
        <w:rPr>
          <w:rFonts w:ascii="Arial" w:hAnsi="Arial" w:cs="Arial"/>
        </w:rPr>
        <w:t>er nog geen integriteitsonderzoek heeft plaatsgevonden.</w:t>
      </w:r>
    </w:p>
    <w:p w:rsidR="00A90D83" w:rsidRPr="00A90D83" w:rsidRDefault="00A90D83" w:rsidP="00A90D83">
      <w:pPr>
        <w:rPr>
          <w:rFonts w:cs="Arial"/>
          <w:color w:val="auto"/>
          <w:sz w:val="22"/>
          <w:szCs w:val="22"/>
        </w:rPr>
      </w:pPr>
    </w:p>
    <w:p w:rsidR="00A90D83" w:rsidRPr="00A90D83" w:rsidRDefault="00A90D83" w:rsidP="00A90D83">
      <w:pPr>
        <w:rPr>
          <w:rFonts w:cs="Arial"/>
          <w:color w:val="auto"/>
          <w:sz w:val="22"/>
          <w:szCs w:val="22"/>
        </w:rPr>
      </w:pPr>
      <w:r w:rsidRPr="00A90D83">
        <w:rPr>
          <w:rFonts w:cs="Arial"/>
          <w:color w:val="auto"/>
          <w:sz w:val="22"/>
          <w:szCs w:val="22"/>
        </w:rPr>
        <w:t xml:space="preserve">Hoewel geen bevinding van de </w:t>
      </w:r>
      <w:proofErr w:type="spellStart"/>
      <w:r w:rsidRPr="00A90D83">
        <w:rPr>
          <w:rFonts w:cs="Arial"/>
          <w:color w:val="auto"/>
          <w:sz w:val="22"/>
          <w:szCs w:val="22"/>
        </w:rPr>
        <w:t>adhoc</w:t>
      </w:r>
      <w:proofErr w:type="spellEnd"/>
      <w:r w:rsidRPr="00A90D83">
        <w:rPr>
          <w:rFonts w:cs="Arial"/>
          <w:color w:val="auto"/>
          <w:sz w:val="22"/>
          <w:szCs w:val="22"/>
        </w:rPr>
        <w:t xml:space="preserve"> commissie zou voortvloeiend uit onze constatering aan de tekst in het voorstel tot  benoeming de zinsnede moeten worden toegevoegd;  ‘onder voorbehoud van VOG en integriteitsonderzoek’.</w:t>
      </w:r>
    </w:p>
    <w:p w:rsidR="00A90D83" w:rsidRPr="00A90D83" w:rsidRDefault="00A90D83" w:rsidP="00A90D83">
      <w:pPr>
        <w:rPr>
          <w:rFonts w:cs="Arial"/>
          <w:color w:val="auto"/>
          <w:sz w:val="22"/>
          <w:szCs w:val="22"/>
        </w:rPr>
      </w:pPr>
      <w:r w:rsidRPr="00A90D83">
        <w:rPr>
          <w:rFonts w:cs="Arial"/>
          <w:color w:val="auto"/>
          <w:sz w:val="22"/>
          <w:szCs w:val="22"/>
        </w:rPr>
        <w:t>Daarnaast de aanbeveling om in de aanloop naar de komende raadsverkiezingen naast positionering van de Gedragscode ook de andere elementen van integriteit (VOG en integriteitsonderzoek) in Presidiumverband te bespreken. Dit om hier vooraf een weloverwogen en gemotiveerde keuze in te maken.</w:t>
      </w:r>
    </w:p>
    <w:p w:rsidR="00A90D83" w:rsidRDefault="00A90D83" w:rsidP="00A90D83">
      <w:pPr>
        <w:rPr>
          <w:color w:val="1F497D"/>
        </w:rPr>
      </w:pPr>
    </w:p>
    <w:p w:rsidR="00A90D83" w:rsidRPr="00A90D83" w:rsidRDefault="00A90D83">
      <w:pPr>
        <w:spacing w:after="10" w:line="268" w:lineRule="auto"/>
        <w:rPr>
          <w:sz w:val="22"/>
          <w:szCs w:val="22"/>
        </w:rPr>
      </w:pPr>
      <w:r w:rsidRPr="00A90D83">
        <w:rPr>
          <w:sz w:val="22"/>
          <w:szCs w:val="22"/>
        </w:rPr>
        <w:t xml:space="preserve">Namens de </w:t>
      </w:r>
      <w:proofErr w:type="spellStart"/>
      <w:r w:rsidRPr="00A90D83">
        <w:rPr>
          <w:sz w:val="22"/>
          <w:szCs w:val="22"/>
        </w:rPr>
        <w:t>adhoc</w:t>
      </w:r>
      <w:proofErr w:type="spellEnd"/>
      <w:r w:rsidRPr="00A90D83">
        <w:rPr>
          <w:sz w:val="22"/>
          <w:szCs w:val="22"/>
        </w:rPr>
        <w:t xml:space="preserve"> commissie benoembaarheid wethouder,</w:t>
      </w:r>
      <w:r w:rsidRPr="00A90D83">
        <w:rPr>
          <w:sz w:val="22"/>
          <w:szCs w:val="22"/>
        </w:rPr>
        <w:br/>
      </w:r>
    </w:p>
    <w:p w:rsidR="00A90D83" w:rsidRPr="00A90D83" w:rsidRDefault="00A90D83">
      <w:pPr>
        <w:spacing w:after="10" w:line="268" w:lineRule="auto"/>
        <w:rPr>
          <w:sz w:val="22"/>
          <w:szCs w:val="22"/>
        </w:rPr>
      </w:pPr>
      <w:bookmarkStart w:id="0" w:name="_GoBack"/>
      <w:bookmarkEnd w:id="0"/>
    </w:p>
    <w:p w:rsidR="00A90D83" w:rsidRPr="00A90D83" w:rsidRDefault="00A90D83">
      <w:pPr>
        <w:spacing w:after="10" w:line="268" w:lineRule="auto"/>
        <w:rPr>
          <w:sz w:val="22"/>
          <w:szCs w:val="22"/>
        </w:rPr>
      </w:pPr>
    </w:p>
    <w:p w:rsidR="00DB6486" w:rsidRPr="00A90D83" w:rsidRDefault="00A90D83">
      <w:pPr>
        <w:spacing w:after="10" w:line="268" w:lineRule="auto"/>
        <w:rPr>
          <w:sz w:val="22"/>
          <w:szCs w:val="22"/>
        </w:rPr>
      </w:pPr>
      <w:r w:rsidRPr="00A90D83">
        <w:rPr>
          <w:sz w:val="22"/>
          <w:szCs w:val="22"/>
        </w:rPr>
        <w:t>H.F. Verweij</w:t>
      </w:r>
      <w:r w:rsidRPr="00A90D83">
        <w:rPr>
          <w:sz w:val="22"/>
          <w:szCs w:val="22"/>
        </w:rPr>
        <w:br/>
        <w:t>voorzitter</w:t>
      </w:r>
    </w:p>
    <w:sectPr w:rsidR="00DB6486" w:rsidRPr="00A90D83">
      <w:headerReference w:type="default" r:id="rId7"/>
      <w:footerReference w:type="default" r:id="rId8"/>
      <w:pgSz w:w="11900" w:h="16840"/>
      <w:pgMar w:top="1418" w:right="1418" w:bottom="1418" w:left="1418" w:header="540" w:footer="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4F" w:rsidRDefault="00D6554F">
      <w:r>
        <w:separator/>
      </w:r>
    </w:p>
  </w:endnote>
  <w:endnote w:type="continuationSeparator" w:id="0">
    <w:p w:rsidR="00D6554F" w:rsidRDefault="00D6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86" w:rsidRDefault="00DB648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4F" w:rsidRDefault="00D6554F">
      <w:r>
        <w:separator/>
      </w:r>
    </w:p>
  </w:footnote>
  <w:footnote w:type="continuationSeparator" w:id="0">
    <w:p w:rsidR="00D6554F" w:rsidRDefault="00D6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86" w:rsidRDefault="000D007D">
    <w:pPr>
      <w:pStyle w:val="Koptekst"/>
      <w:tabs>
        <w:tab w:val="clear" w:pos="9072"/>
        <w:tab w:val="right" w:pos="9044"/>
      </w:tabs>
      <w:jc w:val="right"/>
    </w:pPr>
    <w:r>
      <w:rPr>
        <w:noProof/>
      </w:rPr>
      <w:drawing>
        <wp:inline distT="0" distB="0" distL="0" distR="0" wp14:anchorId="0687C975" wp14:editId="22484507">
          <wp:extent cx="2099311" cy="906781"/>
          <wp:effectExtent l="0" t="0" r="0" b="0"/>
          <wp:docPr id="1073741825" name="officeArt object" descr="Logo (losstaand)jpg"/>
          <wp:cNvGraphicFramePr/>
          <a:graphic xmlns:a="http://schemas.openxmlformats.org/drawingml/2006/main">
            <a:graphicData uri="http://schemas.openxmlformats.org/drawingml/2006/picture">
              <pic:pic xmlns:pic="http://schemas.openxmlformats.org/drawingml/2006/picture">
                <pic:nvPicPr>
                  <pic:cNvPr id="1073741825" name="image1.jpeg" descr="Logo (losstaand)jpg"/>
                  <pic:cNvPicPr>
                    <a:picLocks noChangeAspect="1"/>
                  </pic:cNvPicPr>
                </pic:nvPicPr>
                <pic:blipFill>
                  <a:blip r:embed="rId1">
                    <a:extLst/>
                  </a:blip>
                  <a:stretch>
                    <a:fillRect/>
                  </a:stretch>
                </pic:blipFill>
                <pic:spPr>
                  <a:xfrm>
                    <a:off x="0" y="0"/>
                    <a:ext cx="2099311" cy="9067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87D92"/>
    <w:multiLevelType w:val="hybridMultilevel"/>
    <w:tmpl w:val="93FEDF6A"/>
    <w:lvl w:ilvl="0" w:tplc="E97CF9A4">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86"/>
    <w:rsid w:val="000206D6"/>
    <w:rsid w:val="000D007D"/>
    <w:rsid w:val="000E645B"/>
    <w:rsid w:val="000F15AC"/>
    <w:rsid w:val="00100CC5"/>
    <w:rsid w:val="00103389"/>
    <w:rsid w:val="001274C4"/>
    <w:rsid w:val="00136756"/>
    <w:rsid w:val="00137457"/>
    <w:rsid w:val="00196154"/>
    <w:rsid w:val="001C132C"/>
    <w:rsid w:val="001D723B"/>
    <w:rsid w:val="00232F52"/>
    <w:rsid w:val="002A078D"/>
    <w:rsid w:val="002B3EA5"/>
    <w:rsid w:val="002D5986"/>
    <w:rsid w:val="00330736"/>
    <w:rsid w:val="00393BD3"/>
    <w:rsid w:val="003A270B"/>
    <w:rsid w:val="003C2DCD"/>
    <w:rsid w:val="003D34E9"/>
    <w:rsid w:val="00421D14"/>
    <w:rsid w:val="00461A44"/>
    <w:rsid w:val="004F65FD"/>
    <w:rsid w:val="0051147E"/>
    <w:rsid w:val="005169F0"/>
    <w:rsid w:val="00532E87"/>
    <w:rsid w:val="00535956"/>
    <w:rsid w:val="00541C52"/>
    <w:rsid w:val="00555EB5"/>
    <w:rsid w:val="00570471"/>
    <w:rsid w:val="00577D0D"/>
    <w:rsid w:val="005A3190"/>
    <w:rsid w:val="005B6103"/>
    <w:rsid w:val="005D6F1E"/>
    <w:rsid w:val="005D7026"/>
    <w:rsid w:val="006036F8"/>
    <w:rsid w:val="00614B51"/>
    <w:rsid w:val="00656283"/>
    <w:rsid w:val="006812BD"/>
    <w:rsid w:val="00685D9E"/>
    <w:rsid w:val="00686264"/>
    <w:rsid w:val="006C1459"/>
    <w:rsid w:val="006D757C"/>
    <w:rsid w:val="006F5847"/>
    <w:rsid w:val="00756122"/>
    <w:rsid w:val="00760608"/>
    <w:rsid w:val="007E3FA4"/>
    <w:rsid w:val="00815966"/>
    <w:rsid w:val="00890309"/>
    <w:rsid w:val="008D718D"/>
    <w:rsid w:val="00936E50"/>
    <w:rsid w:val="00945534"/>
    <w:rsid w:val="009455A4"/>
    <w:rsid w:val="009C1A0C"/>
    <w:rsid w:val="009C578B"/>
    <w:rsid w:val="00A018D2"/>
    <w:rsid w:val="00A02BF7"/>
    <w:rsid w:val="00A22487"/>
    <w:rsid w:val="00A90D83"/>
    <w:rsid w:val="00AB108E"/>
    <w:rsid w:val="00AF0ECA"/>
    <w:rsid w:val="00B01D00"/>
    <w:rsid w:val="00B47734"/>
    <w:rsid w:val="00B54D4F"/>
    <w:rsid w:val="00B80810"/>
    <w:rsid w:val="00BE55A3"/>
    <w:rsid w:val="00C47C93"/>
    <w:rsid w:val="00CD7CA1"/>
    <w:rsid w:val="00CE0136"/>
    <w:rsid w:val="00CE310E"/>
    <w:rsid w:val="00CE64EE"/>
    <w:rsid w:val="00D048CF"/>
    <w:rsid w:val="00D2254D"/>
    <w:rsid w:val="00D26305"/>
    <w:rsid w:val="00D6554F"/>
    <w:rsid w:val="00D65EA0"/>
    <w:rsid w:val="00DB6486"/>
    <w:rsid w:val="00DD4207"/>
    <w:rsid w:val="00E92B02"/>
    <w:rsid w:val="00EE4B0F"/>
    <w:rsid w:val="00F95C46"/>
    <w:rsid w:val="00F96704"/>
    <w:rsid w:val="00FA520D"/>
    <w:rsid w:val="00FD0350"/>
    <w:rsid w:val="00FD49E4"/>
    <w:rsid w:val="00FF3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1FD"/>
  <w15:docId w15:val="{8E74CCD0-D1DC-4A5B-B8EC-4763FB1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hAnsi="Arial" w:cs="Arial Unicode MS"/>
      <w:color w:val="000000"/>
      <w:spacing w:val="-2"/>
      <w:kern w:val="16"/>
      <w:position w:val="-4"/>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w:hAnsi="Arial" w:cs="Arial Unicode MS"/>
      <w:color w:val="000000"/>
      <w:spacing w:val="-2"/>
      <w:kern w:val="16"/>
      <w:position w:val="-4"/>
      <w:sz w:val="24"/>
      <w:szCs w:val="24"/>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2A07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078D"/>
    <w:rPr>
      <w:rFonts w:ascii="Segoe UI" w:hAnsi="Segoe UI" w:cs="Segoe UI"/>
      <w:color w:val="000000"/>
      <w:spacing w:val="-2"/>
      <w:kern w:val="16"/>
      <w:position w:val="-4"/>
      <w:sz w:val="18"/>
      <w:szCs w:val="18"/>
      <w:u w:color="000000"/>
    </w:rPr>
  </w:style>
  <w:style w:type="character" w:styleId="Verwijzingopmerking">
    <w:name w:val="annotation reference"/>
    <w:basedOn w:val="Standaardalinea-lettertype"/>
    <w:uiPriority w:val="99"/>
    <w:semiHidden/>
    <w:unhideWhenUsed/>
    <w:rsid w:val="00AF0ECA"/>
    <w:rPr>
      <w:sz w:val="16"/>
      <w:szCs w:val="16"/>
    </w:rPr>
  </w:style>
  <w:style w:type="paragraph" w:styleId="Tekstopmerking">
    <w:name w:val="annotation text"/>
    <w:basedOn w:val="Standaard"/>
    <w:link w:val="TekstopmerkingChar"/>
    <w:uiPriority w:val="99"/>
    <w:semiHidden/>
    <w:unhideWhenUsed/>
    <w:rsid w:val="00AF0ECA"/>
    <w:rPr>
      <w:sz w:val="20"/>
      <w:szCs w:val="20"/>
    </w:rPr>
  </w:style>
  <w:style w:type="character" w:customStyle="1" w:styleId="TekstopmerkingChar">
    <w:name w:val="Tekst opmerking Char"/>
    <w:basedOn w:val="Standaardalinea-lettertype"/>
    <w:link w:val="Tekstopmerking"/>
    <w:uiPriority w:val="99"/>
    <w:semiHidden/>
    <w:rsid w:val="00AF0ECA"/>
    <w:rPr>
      <w:rFonts w:ascii="Arial" w:hAnsi="Arial" w:cs="Arial Unicode MS"/>
      <w:color w:val="000000"/>
      <w:spacing w:val="-2"/>
      <w:kern w:val="16"/>
      <w:position w:val="-4"/>
      <w:u w:color="000000"/>
    </w:rPr>
  </w:style>
  <w:style w:type="paragraph" w:styleId="Onderwerpvanopmerking">
    <w:name w:val="annotation subject"/>
    <w:basedOn w:val="Tekstopmerking"/>
    <w:next w:val="Tekstopmerking"/>
    <w:link w:val="OnderwerpvanopmerkingChar"/>
    <w:uiPriority w:val="99"/>
    <w:semiHidden/>
    <w:unhideWhenUsed/>
    <w:rsid w:val="00AF0ECA"/>
    <w:rPr>
      <w:b/>
      <w:bCs/>
    </w:rPr>
  </w:style>
  <w:style w:type="character" w:customStyle="1" w:styleId="OnderwerpvanopmerkingChar">
    <w:name w:val="Onderwerp van opmerking Char"/>
    <w:basedOn w:val="TekstopmerkingChar"/>
    <w:link w:val="Onderwerpvanopmerking"/>
    <w:uiPriority w:val="99"/>
    <w:semiHidden/>
    <w:rsid w:val="00AF0ECA"/>
    <w:rPr>
      <w:rFonts w:ascii="Arial" w:hAnsi="Arial" w:cs="Arial Unicode MS"/>
      <w:b/>
      <w:bCs/>
      <w:color w:val="000000"/>
      <w:spacing w:val="-2"/>
      <w:kern w:val="16"/>
      <w:position w:val="-4"/>
      <w:u w:color="000000"/>
    </w:rPr>
  </w:style>
  <w:style w:type="paragraph" w:styleId="Revisie">
    <w:name w:val="Revision"/>
    <w:hidden/>
    <w:uiPriority w:val="99"/>
    <w:semiHidden/>
    <w:rsid w:val="00AF0EC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pacing w:val="-2"/>
      <w:kern w:val="16"/>
      <w:position w:val="-4"/>
      <w:sz w:val="24"/>
      <w:szCs w:val="24"/>
      <w:u w:color="000000"/>
    </w:rPr>
  </w:style>
  <w:style w:type="character" w:styleId="GevolgdeHyperlink">
    <w:name w:val="FollowedHyperlink"/>
    <w:basedOn w:val="Standaardalinea-lettertype"/>
    <w:uiPriority w:val="99"/>
    <w:semiHidden/>
    <w:unhideWhenUsed/>
    <w:rsid w:val="004F65FD"/>
    <w:rPr>
      <w:color w:val="FF00FF" w:themeColor="followedHyperlink"/>
      <w:u w:val="single"/>
    </w:rPr>
  </w:style>
  <w:style w:type="paragraph" w:styleId="Tekstzonderopmaak">
    <w:name w:val="Plain Text"/>
    <w:basedOn w:val="Standaard"/>
    <w:link w:val="TekstzonderopmaakChar"/>
    <w:uiPriority w:val="99"/>
    <w:unhideWhenUsed/>
    <w:rsid w:val="005B61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pacing w:val="0"/>
      <w:kern w:val="0"/>
      <w:position w:val="0"/>
      <w:sz w:val="22"/>
      <w:szCs w:val="21"/>
      <w:bdr w:val="none" w:sz="0" w:space="0" w:color="auto"/>
      <w:lang w:eastAsia="en-US"/>
    </w:rPr>
  </w:style>
  <w:style w:type="character" w:customStyle="1" w:styleId="TekstzonderopmaakChar">
    <w:name w:val="Tekst zonder opmaak Char"/>
    <w:basedOn w:val="Standaardalinea-lettertype"/>
    <w:link w:val="Tekstzonderopmaak"/>
    <w:uiPriority w:val="99"/>
    <w:rsid w:val="005B6103"/>
    <w:rPr>
      <w:rFonts w:ascii="Calibri" w:eastAsiaTheme="minorHAnsi" w:hAnsi="Calibri" w:cstheme="minorBidi"/>
      <w:sz w:val="22"/>
      <w:szCs w:val="21"/>
      <w:bdr w:val="none" w:sz="0" w:space="0" w:color="auto"/>
      <w:lang w:eastAsia="en-US"/>
    </w:rPr>
  </w:style>
  <w:style w:type="paragraph" w:styleId="Lijstalinea">
    <w:name w:val="List Paragraph"/>
    <w:basedOn w:val="Standaard"/>
    <w:uiPriority w:val="34"/>
    <w:qFormat/>
    <w:rsid w:val="00A90D8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pacing w:val="0"/>
      <w:kern w:val="0"/>
      <w:position w:val="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8212">
      <w:bodyDiv w:val="1"/>
      <w:marLeft w:val="0"/>
      <w:marRight w:val="0"/>
      <w:marTop w:val="0"/>
      <w:marBottom w:val="0"/>
      <w:divBdr>
        <w:top w:val="none" w:sz="0" w:space="0" w:color="auto"/>
        <w:left w:val="none" w:sz="0" w:space="0" w:color="auto"/>
        <w:bottom w:val="none" w:sz="0" w:space="0" w:color="auto"/>
        <w:right w:val="none" w:sz="0" w:space="0" w:color="auto"/>
      </w:divBdr>
    </w:div>
    <w:div w:id="191839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Schilthuizen, PM (Pauline)</dc:creator>
  <cp:lastModifiedBy>Gruijter, IM de (Ingrid)</cp:lastModifiedBy>
  <cp:revision>2</cp:revision>
  <cp:lastPrinted>2019-03-14T11:35:00Z</cp:lastPrinted>
  <dcterms:created xsi:type="dcterms:W3CDTF">2020-12-15T13:17:00Z</dcterms:created>
  <dcterms:modified xsi:type="dcterms:W3CDTF">2020-12-15T13:17:00Z</dcterms:modified>
</cp:coreProperties>
</file>