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Y="541"/>
        <w:tblW w:w="14170" w:type="dxa"/>
        <w:tblLook w:val="04A0" w:firstRow="1" w:lastRow="0" w:firstColumn="1" w:lastColumn="0" w:noHBand="0" w:noVBand="1"/>
      </w:tblPr>
      <w:tblGrid>
        <w:gridCol w:w="561"/>
        <w:gridCol w:w="4112"/>
        <w:gridCol w:w="709"/>
        <w:gridCol w:w="8788"/>
      </w:tblGrid>
      <w:tr w:rsidR="00E95CD9" w:rsidTr="00B436F9">
        <w:tc>
          <w:tcPr>
            <w:tcW w:w="561" w:type="dxa"/>
          </w:tcPr>
          <w:p w:rsidR="00E95CD9" w:rsidRDefault="008C03B4" w:rsidP="00B436F9">
            <w:bookmarkStart w:id="0" w:name="_GoBack"/>
            <w:bookmarkEnd w:id="0"/>
            <w:r>
              <w:t>Nr.</w:t>
            </w:r>
          </w:p>
        </w:tc>
        <w:tc>
          <w:tcPr>
            <w:tcW w:w="4112" w:type="dxa"/>
          </w:tcPr>
          <w:p w:rsidR="00E95CD9" w:rsidRDefault="008C03B4" w:rsidP="00B436F9">
            <w:r>
              <w:t>Vraag</w:t>
            </w:r>
          </w:p>
        </w:tc>
        <w:tc>
          <w:tcPr>
            <w:tcW w:w="709" w:type="dxa"/>
          </w:tcPr>
          <w:p w:rsidR="00E95CD9" w:rsidRDefault="008C03B4" w:rsidP="00B436F9">
            <w:r>
              <w:t>Partij</w:t>
            </w:r>
          </w:p>
        </w:tc>
        <w:tc>
          <w:tcPr>
            <w:tcW w:w="8788" w:type="dxa"/>
          </w:tcPr>
          <w:p w:rsidR="00E95CD9" w:rsidRDefault="008C03B4" w:rsidP="00B436F9">
            <w:r>
              <w:t>Antwoord</w:t>
            </w:r>
          </w:p>
        </w:tc>
      </w:tr>
      <w:tr w:rsidR="00E95CD9" w:rsidTr="00B436F9">
        <w:tc>
          <w:tcPr>
            <w:tcW w:w="561" w:type="dxa"/>
          </w:tcPr>
          <w:p w:rsidR="00E95CD9" w:rsidRPr="003A007D" w:rsidRDefault="003A007D" w:rsidP="00B436F9">
            <w:pPr>
              <w:spacing w:before="100" w:beforeAutospacing="1" w:after="100" w:afterAutospacing="1"/>
              <w:rPr>
                <w:rFonts w:eastAsia="Times New Roman"/>
              </w:rPr>
            </w:pPr>
            <w:r w:rsidRPr="003A007D">
              <w:rPr>
                <w:rFonts w:eastAsia="Times New Roman"/>
              </w:rPr>
              <w:t>1</w:t>
            </w:r>
          </w:p>
        </w:tc>
        <w:tc>
          <w:tcPr>
            <w:tcW w:w="4112" w:type="dxa"/>
          </w:tcPr>
          <w:p w:rsidR="00E95CD9" w:rsidRPr="00B436F9" w:rsidRDefault="00B436F9" w:rsidP="00B436F9">
            <w:pPr>
              <w:rPr>
                <w:rFonts w:eastAsia="Times New Roman"/>
              </w:rPr>
            </w:pPr>
            <w:r>
              <w:rPr>
                <w:rFonts w:eastAsia="Times New Roman"/>
              </w:rPr>
              <w:t>Volgens slot van de RIB is voor sommige zaken onder kopje bouwen later nog een besluit van uw raad gewenst. Bij diverse kopjes gevolgen overnemen bruidsschat-regels worden kanttekeningen geplaatst (bijv. bij bodembeheer specifieke bodem-</w:t>
            </w:r>
            <w:proofErr w:type="spellStart"/>
            <w:r>
              <w:rPr>
                <w:rFonts w:eastAsia="Times New Roman"/>
              </w:rPr>
              <w:t>verontreingingslocatie</w:t>
            </w:r>
            <w:proofErr w:type="spellEnd"/>
            <w:r>
              <w:rPr>
                <w:rFonts w:eastAsia="Times New Roman"/>
              </w:rPr>
              <w:t xml:space="preserve"> (voormalige Wasserette?!) en bij lozen over teveel regels vastleggen. Moet de raad hierover ook besluit nemen?</w:t>
            </w:r>
          </w:p>
        </w:tc>
        <w:tc>
          <w:tcPr>
            <w:tcW w:w="709" w:type="dxa"/>
          </w:tcPr>
          <w:p w:rsidR="00E95CD9" w:rsidRDefault="009364A6" w:rsidP="00B436F9">
            <w:r>
              <w:t>SGP</w:t>
            </w:r>
          </w:p>
        </w:tc>
        <w:tc>
          <w:tcPr>
            <w:tcW w:w="8788" w:type="dxa"/>
          </w:tcPr>
          <w:p w:rsidR="00631074" w:rsidRDefault="004C014D" w:rsidP="004C014D">
            <w:r>
              <w:t>Bij de inwerkingtreding van de omgevingswet ontstaat een omgevingsplan van rechtswege.</w:t>
            </w:r>
          </w:p>
          <w:p w:rsidR="006F31F5" w:rsidRDefault="004C014D" w:rsidP="004C014D">
            <w:r>
              <w:t xml:space="preserve">In dit tijdelijke omgevingsplan zijn alle </w:t>
            </w:r>
            <w:r w:rsidR="00AB317D" w:rsidRPr="006F31F5">
              <w:t>huidige</w:t>
            </w:r>
            <w:r w:rsidR="00AB317D">
              <w:t xml:space="preserve"> </w:t>
            </w:r>
            <w:r>
              <w:t>bestemmingsplannen en de bruidsschat opgenomen.  Deze regels EN de regels uit de verschillende gemeentelijke verordeningen moeten voor 1 januari 2029 overgebracht zijn naar het definitieve omgevingsplan. Het 'overbrengen' en het 'toevoegen' van regels naar het definitieve omgevingsplan gaat door</w:t>
            </w:r>
            <w:r w:rsidR="006F31F5">
              <w:t xml:space="preserve"> middel van</w:t>
            </w:r>
            <w:r>
              <w:t xml:space="preserve"> raadsbesluiten die het nieuwe deel van het omgevingsplan wijzigen.</w:t>
            </w:r>
          </w:p>
          <w:p w:rsidR="004C014D" w:rsidRDefault="006F31F5" w:rsidP="004C014D">
            <w:r>
              <w:t>Uw gemeenteraad moet hier dus besluiten over nemen.</w:t>
            </w:r>
            <w:r w:rsidR="004C014D">
              <w:t xml:space="preserve"> </w:t>
            </w:r>
          </w:p>
        </w:tc>
      </w:tr>
      <w:tr w:rsidR="00631074" w:rsidTr="00B436F9">
        <w:trPr>
          <w:trHeight w:val="1417"/>
        </w:trPr>
        <w:tc>
          <w:tcPr>
            <w:tcW w:w="561" w:type="dxa"/>
          </w:tcPr>
          <w:p w:rsidR="00631074" w:rsidRPr="003A007D" w:rsidRDefault="00631074" w:rsidP="00B436F9">
            <w:pPr>
              <w:spacing w:before="100" w:beforeAutospacing="1" w:after="100" w:afterAutospacing="1"/>
              <w:rPr>
                <w:rFonts w:eastAsia="Times New Roman"/>
              </w:rPr>
            </w:pPr>
            <w:r>
              <w:rPr>
                <w:rFonts w:eastAsia="Times New Roman"/>
              </w:rPr>
              <w:t xml:space="preserve">2 </w:t>
            </w:r>
          </w:p>
        </w:tc>
        <w:tc>
          <w:tcPr>
            <w:tcW w:w="4112" w:type="dxa"/>
          </w:tcPr>
          <w:p w:rsidR="00631074" w:rsidRPr="00B436F9" w:rsidRDefault="00B436F9" w:rsidP="006F31F5">
            <w:pPr>
              <w:rPr>
                <w:rFonts w:eastAsia="Times New Roman"/>
              </w:rPr>
            </w:pPr>
            <w:r>
              <w:rPr>
                <w:rFonts w:eastAsia="Times New Roman"/>
              </w:rPr>
              <w:t xml:space="preserve">Bestemmingsplanwijziging voor 5 of minder huizen is nu collegebevoegdheid. Hoe is dit geregeld in de bruidsschat? </w:t>
            </w:r>
            <w:r w:rsidRPr="00AB317D">
              <w:rPr>
                <w:rFonts w:eastAsia="Times New Roman"/>
              </w:rPr>
              <w:t>En welke opties heeft de raad als we dit willen handhaven?</w:t>
            </w:r>
          </w:p>
        </w:tc>
        <w:tc>
          <w:tcPr>
            <w:tcW w:w="709" w:type="dxa"/>
          </w:tcPr>
          <w:p w:rsidR="00631074" w:rsidRDefault="00631074" w:rsidP="00B436F9">
            <w:r>
              <w:t>SGP</w:t>
            </w:r>
          </w:p>
        </w:tc>
        <w:tc>
          <w:tcPr>
            <w:tcW w:w="8788" w:type="dxa"/>
          </w:tcPr>
          <w:p w:rsidR="006F31F5" w:rsidRDefault="00CA3728" w:rsidP="00CA3728">
            <w:r>
              <w:t>Dit is niet geregeld in de bruidsschat</w:t>
            </w:r>
            <w:r w:rsidRPr="006F31F5">
              <w:t>.</w:t>
            </w:r>
            <w:r>
              <w:t xml:space="preserve"> </w:t>
            </w:r>
          </w:p>
          <w:p w:rsidR="006F31F5" w:rsidRDefault="00CA3728" w:rsidP="00CA3728">
            <w:r>
              <w:t xml:space="preserve">In de huidige situatie is het zo dat een aantal ruimtelijke plannen eerst langs de gemeenteraad gaat voor een verklaring van geen bedenkingen, voordat het college een omgevingsvergunning kan verlenen om af te wijken van het bestemmingsplan, een </w:t>
            </w:r>
            <w:proofErr w:type="spellStart"/>
            <w:r>
              <w:t>beheersverordening</w:t>
            </w:r>
            <w:proofErr w:type="spellEnd"/>
            <w:r>
              <w:t xml:space="preserve"> of een inpassingsplan. Dat geldt voor alle gevallen die niet staan in de door de raad vastgestelde Lijst van </w:t>
            </w:r>
            <w:r w:rsidR="00CA3FB2">
              <w:t>categorieën</w:t>
            </w:r>
            <w:r>
              <w:t xml:space="preserve"> waarvoor geen verklaring van geen bedenkingen nodig is. </w:t>
            </w:r>
          </w:p>
          <w:p w:rsidR="006F31F5" w:rsidRDefault="006F31F5" w:rsidP="00CA3728"/>
          <w:p w:rsidR="006F31F5" w:rsidRDefault="00CA3728" w:rsidP="00CA3728">
            <w:r>
              <w:t>Onder de omgevingswet vervalt deze bevoegdheid en komt een nieuwe bevoegdheid hiervoor in de plaats: het adviesrecht</w:t>
            </w:r>
            <w:r w:rsidRPr="006F31F5">
              <w:t>.</w:t>
            </w:r>
            <w:r>
              <w:t xml:space="preserve"> In de Omgevingswet is de redenatie andersom. Dan moet de raad van tevoren aangeven wanneer een plan om af te wijken</w:t>
            </w:r>
            <w:r w:rsidR="00CA3FB2">
              <w:t xml:space="preserve"> van het omgevingsplan wél langs de raad moet.</w:t>
            </w:r>
            <w:r w:rsidR="006F31F5">
              <w:t xml:space="preserve"> Door gebruik te maken van het adviesrecht kan de huidige afspraak gehandhaafd blijven. Dit vereist wel een besluit van uw gemeenteraad (dit besluit is in voorbereiding).</w:t>
            </w:r>
          </w:p>
          <w:p w:rsidR="00631074" w:rsidRDefault="00631074" w:rsidP="00CA3728"/>
          <w:p w:rsidR="00CA3FB2" w:rsidRDefault="00CA3FB2" w:rsidP="00CA3FB2">
            <w:r>
              <w:t>Verder wordt de verklaring van geen bedenkingen vervangen door een bindend advies. Raad en college moeten met elkaar in gesprek gaan over welke gevallen voor bindend advies voorgelegd moeten worden aan de raad. Dit is een van de onderwerpen die tijdens de informatie avond van september wordt besproken. Daarbij is een van de doelen van de omgevingswet, snellere dienstverlening wel van belang. Na de informatieavond (planning raadsvergadering oktober) zal een raadsvoorstel over het Adviesrecht van de raad worden aangeboden.</w:t>
            </w:r>
          </w:p>
        </w:tc>
      </w:tr>
      <w:tr w:rsidR="00631074" w:rsidTr="00B436F9">
        <w:tc>
          <w:tcPr>
            <w:tcW w:w="561" w:type="dxa"/>
          </w:tcPr>
          <w:p w:rsidR="00631074" w:rsidRDefault="00B436F9" w:rsidP="00B436F9">
            <w:pPr>
              <w:spacing w:before="100" w:beforeAutospacing="1" w:after="100" w:afterAutospacing="1"/>
              <w:rPr>
                <w:rFonts w:eastAsia="Times New Roman"/>
              </w:rPr>
            </w:pPr>
            <w:r>
              <w:rPr>
                <w:rFonts w:eastAsia="Times New Roman"/>
              </w:rPr>
              <w:t>3</w:t>
            </w:r>
          </w:p>
        </w:tc>
        <w:tc>
          <w:tcPr>
            <w:tcW w:w="4112" w:type="dxa"/>
          </w:tcPr>
          <w:p w:rsidR="00631074" w:rsidRPr="00B436F9" w:rsidRDefault="00B436F9" w:rsidP="00B436F9">
            <w:pPr>
              <w:rPr>
                <w:rFonts w:eastAsia="Times New Roman"/>
              </w:rPr>
            </w:pPr>
            <w:r>
              <w:rPr>
                <w:rFonts w:eastAsia="Times New Roman"/>
              </w:rPr>
              <w:t xml:space="preserve">Bij Geluid - gevolgen overnemen bruidsschatregels: “Ook wordt niet al het geluid meegenomen onder de </w:t>
            </w:r>
            <w:r>
              <w:rPr>
                <w:rFonts w:eastAsia="Times New Roman"/>
              </w:rPr>
              <w:lastRenderedPageBreak/>
              <w:t xml:space="preserve">bruidsschat”. Heeft dit gevolgen voor de huidige agrarische bedrijven op </w:t>
            </w:r>
            <w:proofErr w:type="spellStart"/>
            <w:r>
              <w:rPr>
                <w:rFonts w:eastAsia="Times New Roman"/>
              </w:rPr>
              <w:t>Alblasserdams</w:t>
            </w:r>
            <w:proofErr w:type="spellEnd"/>
            <w:r>
              <w:rPr>
                <w:rFonts w:eastAsia="Times New Roman"/>
              </w:rPr>
              <w:t xml:space="preserve"> grondgebied? En zo ja welke?</w:t>
            </w:r>
          </w:p>
        </w:tc>
        <w:tc>
          <w:tcPr>
            <w:tcW w:w="709" w:type="dxa"/>
          </w:tcPr>
          <w:p w:rsidR="00631074" w:rsidRDefault="00E45275" w:rsidP="00B436F9">
            <w:r>
              <w:lastRenderedPageBreak/>
              <w:t>SGP</w:t>
            </w:r>
          </w:p>
        </w:tc>
        <w:tc>
          <w:tcPr>
            <w:tcW w:w="8788" w:type="dxa"/>
          </w:tcPr>
          <w:p w:rsidR="00631074" w:rsidRDefault="00017EDA" w:rsidP="00017EDA">
            <w:r>
              <w:t>Op het moment van de inwerkingtreding van de omgevingswet heeft dit geen gevolgen. Dit omdat het geluid voor bv mobiele installaties bij landbouwbedrijven is uitgezonderd</w:t>
            </w:r>
            <w:r w:rsidR="00F41BF4">
              <w:t xml:space="preserve"> </w:t>
            </w:r>
            <w:r w:rsidR="006F31F5">
              <w:t>in de Bruidsschat.</w:t>
            </w:r>
            <w:r>
              <w:t xml:space="preserve"> In het Besluit activiteiten Leefomgeving </w:t>
            </w:r>
            <w:r w:rsidR="00DE3062">
              <w:t xml:space="preserve">(in dit besluit staat beschreven waaraan de </w:t>
            </w:r>
            <w:r w:rsidR="00DE3062">
              <w:lastRenderedPageBreak/>
              <w:t xml:space="preserve">regels in het definitieve omgevingsplan moeten voldoen) </w:t>
            </w:r>
            <w:r>
              <w:t>is deze uitzonderingspositie verdwenen</w:t>
            </w:r>
            <w:r w:rsidR="00DE3062">
              <w:t>.</w:t>
            </w:r>
            <w:r>
              <w:t xml:space="preserve"> </w:t>
            </w:r>
          </w:p>
          <w:p w:rsidR="00017EDA" w:rsidRDefault="00017EDA" w:rsidP="00DE3062">
            <w:r>
              <w:t xml:space="preserve">Dit betekent dat dit consequenties kan hebben op het moment dat </w:t>
            </w:r>
            <w:r w:rsidR="00DE3062">
              <w:t xml:space="preserve">er geluidsregel  </w:t>
            </w:r>
            <w:r>
              <w:t xml:space="preserve">worden overgebracht naar </w:t>
            </w:r>
            <w:r w:rsidR="00DE3062">
              <w:t xml:space="preserve">en toegevoegd aan </w:t>
            </w:r>
            <w:r>
              <w:t xml:space="preserve">het definitieve omgevingsplan. Uw gemeenteraad moet hier in de toekomst een besluit over nemen. Welke consequenties dit heeft hangt van het besluit af wat er straks genomen moet worden. Het is echter wel </w:t>
            </w:r>
            <w:r w:rsidRPr="00DE3062">
              <w:t>verplicht</w:t>
            </w:r>
            <w:r>
              <w:t xml:space="preserve"> om te voldoen aan het Besluit activiteiten Leefomgeving. </w:t>
            </w:r>
          </w:p>
        </w:tc>
      </w:tr>
      <w:tr w:rsidR="00B436F9" w:rsidTr="00B436F9">
        <w:tc>
          <w:tcPr>
            <w:tcW w:w="561" w:type="dxa"/>
          </w:tcPr>
          <w:p w:rsidR="00B436F9" w:rsidRDefault="00B436F9" w:rsidP="00B436F9">
            <w:pPr>
              <w:spacing w:before="100" w:beforeAutospacing="1" w:after="100" w:afterAutospacing="1"/>
              <w:rPr>
                <w:rFonts w:eastAsia="Times New Roman"/>
              </w:rPr>
            </w:pPr>
            <w:r>
              <w:rPr>
                <w:rFonts w:eastAsia="Times New Roman"/>
              </w:rPr>
              <w:lastRenderedPageBreak/>
              <w:t>4</w:t>
            </w:r>
          </w:p>
        </w:tc>
        <w:tc>
          <w:tcPr>
            <w:tcW w:w="4112" w:type="dxa"/>
          </w:tcPr>
          <w:p w:rsidR="00B436F9" w:rsidRPr="00B436F9" w:rsidRDefault="00B436F9" w:rsidP="00B436F9">
            <w:pPr>
              <w:rPr>
                <w:rFonts w:eastAsia="Times New Roman"/>
              </w:rPr>
            </w:pPr>
            <w:r>
              <w:rPr>
                <w:rFonts w:eastAsia="Times New Roman"/>
              </w:rPr>
              <w:t>Klopt de duiding dat we voor nu kiezen voor zoveel mogelijk handhaven van bestaande regels en dat we pas in de nieuwe omgevingsvisie (eventueel) keuzes gaan maken?</w:t>
            </w:r>
          </w:p>
        </w:tc>
        <w:tc>
          <w:tcPr>
            <w:tcW w:w="709" w:type="dxa"/>
          </w:tcPr>
          <w:p w:rsidR="00B436F9" w:rsidRDefault="00E45275" w:rsidP="00B436F9">
            <w:r>
              <w:t>SGP</w:t>
            </w:r>
          </w:p>
        </w:tc>
        <w:tc>
          <w:tcPr>
            <w:tcW w:w="8788" w:type="dxa"/>
          </w:tcPr>
          <w:p w:rsidR="00B436F9" w:rsidRDefault="00CA3FB2" w:rsidP="00DE3062">
            <w:r>
              <w:t>Het klopt dat de overstap naar de omgevingswet beleidsneutraal gebeurt. Niet in de omgevingsvisie, maar in het omgevingsplan zullen keuzes (moeten) worden gemaakt. Het omgevingsplan wordt opgesteld nadat de omgevingsvisie is vastgesteld.</w:t>
            </w:r>
            <w:r w:rsidR="00DE3062">
              <w:t xml:space="preserve"> De verwachting is dat in 2022 wordt gestart met het stapsgewijs overbrengen van regels naar het Omgevingsplan.</w:t>
            </w:r>
          </w:p>
        </w:tc>
      </w:tr>
      <w:tr w:rsidR="00B436F9" w:rsidTr="00B436F9">
        <w:tc>
          <w:tcPr>
            <w:tcW w:w="561" w:type="dxa"/>
          </w:tcPr>
          <w:p w:rsidR="00B436F9" w:rsidRDefault="00B436F9" w:rsidP="00B436F9">
            <w:pPr>
              <w:spacing w:before="100" w:beforeAutospacing="1" w:after="100" w:afterAutospacing="1"/>
              <w:rPr>
                <w:rFonts w:eastAsia="Times New Roman"/>
              </w:rPr>
            </w:pPr>
          </w:p>
        </w:tc>
        <w:tc>
          <w:tcPr>
            <w:tcW w:w="4112" w:type="dxa"/>
          </w:tcPr>
          <w:p w:rsidR="00B436F9" w:rsidRDefault="00B436F9" w:rsidP="00B436F9"/>
        </w:tc>
        <w:tc>
          <w:tcPr>
            <w:tcW w:w="709" w:type="dxa"/>
          </w:tcPr>
          <w:p w:rsidR="00B436F9" w:rsidRDefault="00B436F9" w:rsidP="00B436F9"/>
        </w:tc>
        <w:tc>
          <w:tcPr>
            <w:tcW w:w="8788" w:type="dxa"/>
          </w:tcPr>
          <w:p w:rsidR="00B436F9" w:rsidRDefault="00B436F9" w:rsidP="00B436F9"/>
        </w:tc>
      </w:tr>
      <w:tr w:rsidR="00B436F9" w:rsidTr="00B436F9">
        <w:tc>
          <w:tcPr>
            <w:tcW w:w="561" w:type="dxa"/>
          </w:tcPr>
          <w:p w:rsidR="00B436F9" w:rsidRDefault="00B436F9" w:rsidP="00B436F9">
            <w:pPr>
              <w:spacing w:before="100" w:beforeAutospacing="1" w:after="100" w:afterAutospacing="1"/>
              <w:rPr>
                <w:rFonts w:eastAsia="Times New Roman"/>
              </w:rPr>
            </w:pPr>
          </w:p>
        </w:tc>
        <w:tc>
          <w:tcPr>
            <w:tcW w:w="4112" w:type="dxa"/>
          </w:tcPr>
          <w:p w:rsidR="00B436F9" w:rsidRDefault="00B436F9" w:rsidP="00B436F9"/>
        </w:tc>
        <w:tc>
          <w:tcPr>
            <w:tcW w:w="709" w:type="dxa"/>
          </w:tcPr>
          <w:p w:rsidR="00B436F9" w:rsidRDefault="00B436F9" w:rsidP="00B436F9"/>
        </w:tc>
        <w:tc>
          <w:tcPr>
            <w:tcW w:w="8788" w:type="dxa"/>
          </w:tcPr>
          <w:p w:rsidR="00B436F9" w:rsidRDefault="00B436F9" w:rsidP="00B436F9"/>
        </w:tc>
      </w:tr>
      <w:tr w:rsidR="00B436F9" w:rsidTr="00B436F9">
        <w:tc>
          <w:tcPr>
            <w:tcW w:w="561" w:type="dxa"/>
          </w:tcPr>
          <w:p w:rsidR="00B436F9" w:rsidRDefault="00B436F9" w:rsidP="00B436F9">
            <w:pPr>
              <w:spacing w:before="100" w:beforeAutospacing="1" w:after="100" w:afterAutospacing="1"/>
              <w:rPr>
                <w:rFonts w:eastAsia="Times New Roman"/>
              </w:rPr>
            </w:pPr>
          </w:p>
        </w:tc>
        <w:tc>
          <w:tcPr>
            <w:tcW w:w="4112" w:type="dxa"/>
          </w:tcPr>
          <w:p w:rsidR="00B436F9" w:rsidRDefault="00B436F9" w:rsidP="00B436F9"/>
        </w:tc>
        <w:tc>
          <w:tcPr>
            <w:tcW w:w="709" w:type="dxa"/>
          </w:tcPr>
          <w:p w:rsidR="00B436F9" w:rsidRDefault="00B436F9" w:rsidP="00B436F9"/>
        </w:tc>
        <w:tc>
          <w:tcPr>
            <w:tcW w:w="8788" w:type="dxa"/>
          </w:tcPr>
          <w:p w:rsidR="00B436F9" w:rsidRDefault="00B436F9" w:rsidP="00B436F9"/>
        </w:tc>
      </w:tr>
    </w:tbl>
    <w:p w:rsidR="0011671D" w:rsidRPr="00B436F9" w:rsidRDefault="009364A6">
      <w:pPr>
        <w:rPr>
          <w:b/>
          <w:sz w:val="24"/>
          <w:szCs w:val="24"/>
        </w:rPr>
      </w:pPr>
      <w:r w:rsidRPr="00B436F9">
        <w:rPr>
          <w:b/>
          <w:sz w:val="24"/>
          <w:szCs w:val="24"/>
        </w:rPr>
        <w:t>Technis</w:t>
      </w:r>
      <w:r w:rsidR="00631074" w:rsidRPr="00B436F9">
        <w:rPr>
          <w:b/>
          <w:sz w:val="24"/>
          <w:szCs w:val="24"/>
        </w:rPr>
        <w:t xml:space="preserve">che vragen bij raadsinformatiebrief </w:t>
      </w:r>
      <w:r w:rsidR="00B436F9">
        <w:rPr>
          <w:b/>
          <w:sz w:val="24"/>
          <w:szCs w:val="24"/>
        </w:rPr>
        <w:t>B</w:t>
      </w:r>
      <w:r w:rsidR="00DB5A5D" w:rsidRPr="00B436F9">
        <w:rPr>
          <w:b/>
          <w:sz w:val="24"/>
          <w:szCs w:val="24"/>
        </w:rPr>
        <w:t xml:space="preserve">ruidsschat </w:t>
      </w:r>
      <w:r w:rsidR="00B436F9">
        <w:rPr>
          <w:b/>
          <w:sz w:val="24"/>
          <w:szCs w:val="24"/>
        </w:rPr>
        <w:t>O</w:t>
      </w:r>
      <w:r w:rsidR="00DB5A5D" w:rsidRPr="00B436F9">
        <w:rPr>
          <w:b/>
          <w:sz w:val="24"/>
          <w:szCs w:val="24"/>
        </w:rPr>
        <w:t>mgevingswet</w:t>
      </w:r>
    </w:p>
    <w:sectPr w:rsidR="0011671D" w:rsidRPr="00B436F9" w:rsidSect="00B436F9">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23A"/>
    <w:multiLevelType w:val="multilevel"/>
    <w:tmpl w:val="51106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647D3"/>
    <w:multiLevelType w:val="hybridMultilevel"/>
    <w:tmpl w:val="B91052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49F269B"/>
    <w:multiLevelType w:val="hybridMultilevel"/>
    <w:tmpl w:val="B91052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6675C8E"/>
    <w:multiLevelType w:val="multilevel"/>
    <w:tmpl w:val="E4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F04C0"/>
    <w:multiLevelType w:val="hybridMultilevel"/>
    <w:tmpl w:val="B91052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698C5D6C"/>
    <w:multiLevelType w:val="multilevel"/>
    <w:tmpl w:val="78D0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F4287"/>
    <w:multiLevelType w:val="hybridMultilevel"/>
    <w:tmpl w:val="B91052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5E"/>
    <w:rsid w:val="00017EDA"/>
    <w:rsid w:val="00030168"/>
    <w:rsid w:val="001C2A09"/>
    <w:rsid w:val="00235B2D"/>
    <w:rsid w:val="00377008"/>
    <w:rsid w:val="003A007D"/>
    <w:rsid w:val="004A6BE7"/>
    <w:rsid w:val="004C014D"/>
    <w:rsid w:val="00521060"/>
    <w:rsid w:val="00631074"/>
    <w:rsid w:val="00681F00"/>
    <w:rsid w:val="006F31F5"/>
    <w:rsid w:val="00724EAC"/>
    <w:rsid w:val="0081265E"/>
    <w:rsid w:val="008C03B4"/>
    <w:rsid w:val="008F202B"/>
    <w:rsid w:val="009364A6"/>
    <w:rsid w:val="00AB317D"/>
    <w:rsid w:val="00AE25BB"/>
    <w:rsid w:val="00B0667E"/>
    <w:rsid w:val="00B436F9"/>
    <w:rsid w:val="00CA3728"/>
    <w:rsid w:val="00CA3FB2"/>
    <w:rsid w:val="00DB5A5D"/>
    <w:rsid w:val="00DE3062"/>
    <w:rsid w:val="00E45275"/>
    <w:rsid w:val="00E95CD9"/>
    <w:rsid w:val="00F41BF4"/>
    <w:rsid w:val="00F87757"/>
    <w:rsid w:val="00FF0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4D9D2-0FEF-45E0-958A-601524B7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3B4"/>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F41BF4"/>
    <w:rPr>
      <w:sz w:val="16"/>
      <w:szCs w:val="16"/>
    </w:rPr>
  </w:style>
  <w:style w:type="paragraph" w:styleId="Tekstopmerking">
    <w:name w:val="annotation text"/>
    <w:basedOn w:val="Standaard"/>
    <w:link w:val="TekstopmerkingChar"/>
    <w:uiPriority w:val="99"/>
    <w:semiHidden/>
    <w:unhideWhenUsed/>
    <w:rsid w:val="00F41B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1BF4"/>
    <w:rPr>
      <w:sz w:val="20"/>
      <w:szCs w:val="20"/>
    </w:rPr>
  </w:style>
  <w:style w:type="paragraph" w:styleId="Onderwerpvanopmerking">
    <w:name w:val="annotation subject"/>
    <w:basedOn w:val="Tekstopmerking"/>
    <w:next w:val="Tekstopmerking"/>
    <w:link w:val="OnderwerpvanopmerkingChar"/>
    <w:uiPriority w:val="99"/>
    <w:semiHidden/>
    <w:unhideWhenUsed/>
    <w:rsid w:val="00F41BF4"/>
    <w:rPr>
      <w:b/>
      <w:bCs/>
    </w:rPr>
  </w:style>
  <w:style w:type="character" w:customStyle="1" w:styleId="OnderwerpvanopmerkingChar">
    <w:name w:val="Onderwerp van opmerking Char"/>
    <w:basedOn w:val="TekstopmerkingChar"/>
    <w:link w:val="Onderwerpvanopmerking"/>
    <w:uiPriority w:val="99"/>
    <w:semiHidden/>
    <w:rsid w:val="00F41BF4"/>
    <w:rPr>
      <w:b/>
      <w:bCs/>
      <w:sz w:val="20"/>
      <w:szCs w:val="20"/>
    </w:rPr>
  </w:style>
  <w:style w:type="paragraph" w:styleId="Ballontekst">
    <w:name w:val="Balloon Text"/>
    <w:basedOn w:val="Standaard"/>
    <w:link w:val="BallontekstChar"/>
    <w:uiPriority w:val="99"/>
    <w:semiHidden/>
    <w:unhideWhenUsed/>
    <w:rsid w:val="00F41B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1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238">
      <w:bodyDiv w:val="1"/>
      <w:marLeft w:val="0"/>
      <w:marRight w:val="0"/>
      <w:marTop w:val="0"/>
      <w:marBottom w:val="0"/>
      <w:divBdr>
        <w:top w:val="none" w:sz="0" w:space="0" w:color="auto"/>
        <w:left w:val="none" w:sz="0" w:space="0" w:color="auto"/>
        <w:bottom w:val="none" w:sz="0" w:space="0" w:color="auto"/>
        <w:right w:val="none" w:sz="0" w:space="0" w:color="auto"/>
      </w:divBdr>
    </w:div>
    <w:div w:id="62796112">
      <w:bodyDiv w:val="1"/>
      <w:marLeft w:val="0"/>
      <w:marRight w:val="0"/>
      <w:marTop w:val="0"/>
      <w:marBottom w:val="0"/>
      <w:divBdr>
        <w:top w:val="none" w:sz="0" w:space="0" w:color="auto"/>
        <w:left w:val="none" w:sz="0" w:space="0" w:color="auto"/>
        <w:bottom w:val="none" w:sz="0" w:space="0" w:color="auto"/>
        <w:right w:val="none" w:sz="0" w:space="0" w:color="auto"/>
      </w:divBdr>
    </w:div>
    <w:div w:id="75438276">
      <w:bodyDiv w:val="1"/>
      <w:marLeft w:val="0"/>
      <w:marRight w:val="0"/>
      <w:marTop w:val="0"/>
      <w:marBottom w:val="0"/>
      <w:divBdr>
        <w:top w:val="none" w:sz="0" w:space="0" w:color="auto"/>
        <w:left w:val="none" w:sz="0" w:space="0" w:color="auto"/>
        <w:bottom w:val="none" w:sz="0" w:space="0" w:color="auto"/>
        <w:right w:val="none" w:sz="0" w:space="0" w:color="auto"/>
      </w:divBdr>
    </w:div>
    <w:div w:id="241180485">
      <w:bodyDiv w:val="1"/>
      <w:marLeft w:val="0"/>
      <w:marRight w:val="0"/>
      <w:marTop w:val="0"/>
      <w:marBottom w:val="0"/>
      <w:divBdr>
        <w:top w:val="none" w:sz="0" w:space="0" w:color="auto"/>
        <w:left w:val="none" w:sz="0" w:space="0" w:color="auto"/>
        <w:bottom w:val="none" w:sz="0" w:space="0" w:color="auto"/>
        <w:right w:val="none" w:sz="0" w:space="0" w:color="auto"/>
      </w:divBdr>
    </w:div>
    <w:div w:id="289283053">
      <w:bodyDiv w:val="1"/>
      <w:marLeft w:val="0"/>
      <w:marRight w:val="0"/>
      <w:marTop w:val="0"/>
      <w:marBottom w:val="0"/>
      <w:divBdr>
        <w:top w:val="none" w:sz="0" w:space="0" w:color="auto"/>
        <w:left w:val="none" w:sz="0" w:space="0" w:color="auto"/>
        <w:bottom w:val="none" w:sz="0" w:space="0" w:color="auto"/>
        <w:right w:val="none" w:sz="0" w:space="0" w:color="auto"/>
      </w:divBdr>
    </w:div>
    <w:div w:id="332882291">
      <w:bodyDiv w:val="1"/>
      <w:marLeft w:val="0"/>
      <w:marRight w:val="0"/>
      <w:marTop w:val="0"/>
      <w:marBottom w:val="0"/>
      <w:divBdr>
        <w:top w:val="none" w:sz="0" w:space="0" w:color="auto"/>
        <w:left w:val="none" w:sz="0" w:space="0" w:color="auto"/>
        <w:bottom w:val="none" w:sz="0" w:space="0" w:color="auto"/>
        <w:right w:val="none" w:sz="0" w:space="0" w:color="auto"/>
      </w:divBdr>
    </w:div>
    <w:div w:id="333265376">
      <w:bodyDiv w:val="1"/>
      <w:marLeft w:val="0"/>
      <w:marRight w:val="0"/>
      <w:marTop w:val="0"/>
      <w:marBottom w:val="0"/>
      <w:divBdr>
        <w:top w:val="none" w:sz="0" w:space="0" w:color="auto"/>
        <w:left w:val="none" w:sz="0" w:space="0" w:color="auto"/>
        <w:bottom w:val="none" w:sz="0" w:space="0" w:color="auto"/>
        <w:right w:val="none" w:sz="0" w:space="0" w:color="auto"/>
      </w:divBdr>
    </w:div>
    <w:div w:id="570391205">
      <w:bodyDiv w:val="1"/>
      <w:marLeft w:val="0"/>
      <w:marRight w:val="0"/>
      <w:marTop w:val="0"/>
      <w:marBottom w:val="0"/>
      <w:divBdr>
        <w:top w:val="none" w:sz="0" w:space="0" w:color="auto"/>
        <w:left w:val="none" w:sz="0" w:space="0" w:color="auto"/>
        <w:bottom w:val="none" w:sz="0" w:space="0" w:color="auto"/>
        <w:right w:val="none" w:sz="0" w:space="0" w:color="auto"/>
      </w:divBdr>
    </w:div>
    <w:div w:id="654339837">
      <w:bodyDiv w:val="1"/>
      <w:marLeft w:val="0"/>
      <w:marRight w:val="0"/>
      <w:marTop w:val="0"/>
      <w:marBottom w:val="0"/>
      <w:divBdr>
        <w:top w:val="none" w:sz="0" w:space="0" w:color="auto"/>
        <w:left w:val="none" w:sz="0" w:space="0" w:color="auto"/>
        <w:bottom w:val="none" w:sz="0" w:space="0" w:color="auto"/>
        <w:right w:val="none" w:sz="0" w:space="0" w:color="auto"/>
      </w:divBdr>
    </w:div>
    <w:div w:id="754668077">
      <w:bodyDiv w:val="1"/>
      <w:marLeft w:val="0"/>
      <w:marRight w:val="0"/>
      <w:marTop w:val="0"/>
      <w:marBottom w:val="0"/>
      <w:divBdr>
        <w:top w:val="none" w:sz="0" w:space="0" w:color="auto"/>
        <w:left w:val="none" w:sz="0" w:space="0" w:color="auto"/>
        <w:bottom w:val="none" w:sz="0" w:space="0" w:color="auto"/>
        <w:right w:val="none" w:sz="0" w:space="0" w:color="auto"/>
      </w:divBdr>
    </w:div>
    <w:div w:id="1318656360">
      <w:bodyDiv w:val="1"/>
      <w:marLeft w:val="0"/>
      <w:marRight w:val="0"/>
      <w:marTop w:val="0"/>
      <w:marBottom w:val="0"/>
      <w:divBdr>
        <w:top w:val="none" w:sz="0" w:space="0" w:color="auto"/>
        <w:left w:val="none" w:sz="0" w:space="0" w:color="auto"/>
        <w:bottom w:val="none" w:sz="0" w:space="0" w:color="auto"/>
        <w:right w:val="none" w:sz="0" w:space="0" w:color="auto"/>
      </w:divBdr>
    </w:div>
    <w:div w:id="1499929283">
      <w:bodyDiv w:val="1"/>
      <w:marLeft w:val="0"/>
      <w:marRight w:val="0"/>
      <w:marTop w:val="0"/>
      <w:marBottom w:val="0"/>
      <w:divBdr>
        <w:top w:val="none" w:sz="0" w:space="0" w:color="auto"/>
        <w:left w:val="none" w:sz="0" w:space="0" w:color="auto"/>
        <w:bottom w:val="none" w:sz="0" w:space="0" w:color="auto"/>
        <w:right w:val="none" w:sz="0" w:space="0" w:color="auto"/>
      </w:divBdr>
    </w:div>
    <w:div w:id="1717899391">
      <w:bodyDiv w:val="1"/>
      <w:marLeft w:val="0"/>
      <w:marRight w:val="0"/>
      <w:marTop w:val="0"/>
      <w:marBottom w:val="0"/>
      <w:divBdr>
        <w:top w:val="none" w:sz="0" w:space="0" w:color="auto"/>
        <w:left w:val="none" w:sz="0" w:space="0" w:color="auto"/>
        <w:bottom w:val="none" w:sz="0" w:space="0" w:color="auto"/>
        <w:right w:val="none" w:sz="0" w:space="0" w:color="auto"/>
      </w:divBdr>
    </w:div>
    <w:div w:id="1793357703">
      <w:bodyDiv w:val="1"/>
      <w:marLeft w:val="0"/>
      <w:marRight w:val="0"/>
      <w:marTop w:val="0"/>
      <w:marBottom w:val="0"/>
      <w:divBdr>
        <w:top w:val="none" w:sz="0" w:space="0" w:color="auto"/>
        <w:left w:val="none" w:sz="0" w:space="0" w:color="auto"/>
        <w:bottom w:val="none" w:sz="0" w:space="0" w:color="auto"/>
        <w:right w:val="none" w:sz="0" w:space="0" w:color="auto"/>
      </w:divBdr>
    </w:div>
    <w:div w:id="18092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Conrad-Smit, AJA (Antoinette)</cp:lastModifiedBy>
  <cp:revision>2</cp:revision>
  <dcterms:created xsi:type="dcterms:W3CDTF">2021-05-17T07:56:00Z</dcterms:created>
  <dcterms:modified xsi:type="dcterms:W3CDTF">2021-05-17T07:56:00Z</dcterms:modified>
</cp:coreProperties>
</file>